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E" w:rsidRPr="00285CE8" w:rsidRDefault="00663FDE" w:rsidP="00D4259F">
      <w:pPr>
        <w:jc w:val="center"/>
        <w:rPr>
          <w:rFonts w:ascii="Arial" w:hAnsi="Arial" w:cs="Arial"/>
          <w:b/>
          <w:sz w:val="22"/>
          <w:szCs w:val="22"/>
        </w:rPr>
      </w:pPr>
    </w:p>
    <w:p w:rsidR="00D4259F" w:rsidRDefault="00D4259F" w:rsidP="000021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UPUTE ZA PRIJAVITELJE</w:t>
      </w:r>
    </w:p>
    <w:p w:rsidR="00457EF9" w:rsidRPr="00457EF9" w:rsidRDefault="004F40E9" w:rsidP="00457E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Javni poziv </w:t>
      </w:r>
      <w:r w:rsidR="00457EF9" w:rsidRPr="00457EF9">
        <w:rPr>
          <w:rFonts w:ascii="Arial" w:hAnsi="Arial" w:cs="Arial"/>
          <w:b/>
          <w:sz w:val="22"/>
          <w:szCs w:val="22"/>
        </w:rPr>
        <w:t>za dodjelu bespovratnih potpora u 2016. godini za pokriće troškova stručne tehničke pomoći konzultanata za identifikaciju i evaluaciju projektnih ideja i pisanje prijave projekata koji će se financirati sredstvima EU</w:t>
      </w:r>
    </w:p>
    <w:p w:rsidR="0095581B" w:rsidRPr="00285CE8" w:rsidRDefault="0095581B" w:rsidP="00457E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63FDE" w:rsidRPr="00285CE8" w:rsidRDefault="00663FDE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 xml:space="preserve">I. </w:t>
      </w:r>
      <w:r w:rsidR="004F40E9">
        <w:rPr>
          <w:rFonts w:ascii="Arial" w:hAnsi="Arial" w:cs="Arial"/>
          <w:b/>
          <w:sz w:val="22"/>
          <w:szCs w:val="22"/>
        </w:rPr>
        <w:t xml:space="preserve">PREDMET I </w:t>
      </w:r>
      <w:r w:rsidRPr="00285CE8">
        <w:rPr>
          <w:rFonts w:ascii="Arial" w:hAnsi="Arial" w:cs="Arial"/>
          <w:b/>
          <w:sz w:val="22"/>
          <w:szCs w:val="22"/>
        </w:rPr>
        <w:t xml:space="preserve">CILJ </w:t>
      </w:r>
      <w:r w:rsidR="004F40E9">
        <w:rPr>
          <w:rFonts w:ascii="Arial" w:hAnsi="Arial" w:cs="Arial"/>
          <w:b/>
          <w:sz w:val="22"/>
          <w:szCs w:val="22"/>
        </w:rPr>
        <w:t>JAVNOG POZIVA</w:t>
      </w:r>
      <w:r w:rsidRPr="00285CE8">
        <w:rPr>
          <w:rFonts w:ascii="Arial" w:hAnsi="Arial" w:cs="Arial"/>
          <w:b/>
          <w:sz w:val="22"/>
          <w:szCs w:val="22"/>
        </w:rPr>
        <w:t>:</w:t>
      </w:r>
    </w:p>
    <w:p w:rsidR="00457EF9" w:rsidRDefault="00457EF9" w:rsidP="00457E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3198F" w:rsidRPr="00457EF9" w:rsidRDefault="0073198F" w:rsidP="00457EF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57EF9">
        <w:rPr>
          <w:rFonts w:ascii="Arial" w:hAnsi="Arial" w:cs="Arial"/>
          <w:sz w:val="22"/>
          <w:szCs w:val="22"/>
        </w:rPr>
        <w:t xml:space="preserve">Predmet Javnog poziva je dodjela bespovratne potpore </w:t>
      </w:r>
      <w:r w:rsidR="00457EF9" w:rsidRPr="00457EF9">
        <w:rPr>
          <w:rFonts w:ascii="Arial" w:hAnsi="Arial" w:cs="Arial"/>
          <w:sz w:val="22"/>
          <w:szCs w:val="22"/>
        </w:rPr>
        <w:t>u 2016. godini za pokriće troškova stručne tehničke pomoći konzultanata za identifikaciju i evaluaciju projektnih ideja i pisanje prijave projekata koji će se financirati sredstvima EU</w:t>
      </w:r>
      <w:r w:rsidR="00A61CC7" w:rsidRPr="00457EF9">
        <w:rPr>
          <w:rFonts w:ascii="Arial" w:hAnsi="Arial" w:cs="Arial"/>
          <w:sz w:val="22"/>
          <w:szCs w:val="22"/>
        </w:rPr>
        <w:t xml:space="preserve">, </w:t>
      </w:r>
      <w:r w:rsidR="00F87433" w:rsidRPr="00457EF9">
        <w:rPr>
          <w:rFonts w:ascii="Arial" w:hAnsi="Arial" w:cs="Arial"/>
          <w:sz w:val="22"/>
          <w:szCs w:val="22"/>
        </w:rPr>
        <w:t>a koji moraju biti sukladni sa strateškim dokumentima lokalne i županijske razine</w:t>
      </w:r>
      <w:r w:rsidRPr="00457EF9">
        <w:rPr>
          <w:rFonts w:ascii="Arial" w:hAnsi="Arial" w:cs="Arial"/>
          <w:sz w:val="22"/>
          <w:szCs w:val="22"/>
        </w:rPr>
        <w:t>.</w:t>
      </w:r>
    </w:p>
    <w:p w:rsidR="004F40E9" w:rsidRDefault="004F40E9" w:rsidP="00457EF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40E9">
        <w:rPr>
          <w:rFonts w:ascii="Arial" w:hAnsi="Arial" w:cs="Arial"/>
          <w:sz w:val="22"/>
          <w:szCs w:val="22"/>
        </w:rPr>
        <w:t>Cilj dodjele bespovratne potpore je</w:t>
      </w:r>
      <w:r w:rsidR="00F602FC">
        <w:rPr>
          <w:rFonts w:ascii="Arial" w:hAnsi="Arial" w:cs="Arial"/>
          <w:sz w:val="22"/>
          <w:szCs w:val="22"/>
        </w:rPr>
        <w:t>,</w:t>
      </w:r>
      <w:r w:rsidRPr="004F40E9">
        <w:rPr>
          <w:rFonts w:ascii="Arial" w:hAnsi="Arial" w:cs="Arial"/>
          <w:sz w:val="22"/>
          <w:szCs w:val="22"/>
        </w:rPr>
        <w:t xml:space="preserve"> putem stručne tehničke pomoći </w:t>
      </w:r>
      <w:r w:rsidR="00D51A06">
        <w:rPr>
          <w:rFonts w:ascii="Arial" w:hAnsi="Arial" w:cs="Arial"/>
          <w:sz w:val="22"/>
          <w:szCs w:val="22"/>
        </w:rPr>
        <w:t xml:space="preserve">konzultanta </w:t>
      </w:r>
      <w:r w:rsidR="0098443F">
        <w:rPr>
          <w:rFonts w:ascii="Arial" w:hAnsi="Arial" w:cs="Arial"/>
          <w:sz w:val="22"/>
          <w:szCs w:val="22"/>
        </w:rPr>
        <w:t>prihvatljivim prijaviteljima</w:t>
      </w:r>
      <w:r w:rsidR="00F602FC">
        <w:rPr>
          <w:rFonts w:ascii="Arial" w:hAnsi="Arial" w:cs="Arial"/>
          <w:sz w:val="22"/>
          <w:szCs w:val="22"/>
        </w:rPr>
        <w:t>,</w:t>
      </w:r>
      <w:r w:rsidRPr="004F40E9">
        <w:rPr>
          <w:rFonts w:ascii="Arial" w:hAnsi="Arial" w:cs="Arial"/>
          <w:sz w:val="22"/>
          <w:szCs w:val="22"/>
        </w:rPr>
        <w:t xml:space="preserve"> značajno povećati broj pripremljenih i uspješno prijavljenih projekata s područja Zagrebačke županije čije će se provođenje financirati sredstvima EU u programskom razdoblju 2014. - 2020. </w:t>
      </w:r>
      <w:r w:rsidR="00D51A06">
        <w:rPr>
          <w:rFonts w:ascii="Arial" w:hAnsi="Arial" w:cs="Arial"/>
          <w:sz w:val="22"/>
          <w:szCs w:val="22"/>
        </w:rPr>
        <w:t>g</w:t>
      </w:r>
      <w:r w:rsidRPr="004F40E9">
        <w:rPr>
          <w:rFonts w:ascii="Arial" w:hAnsi="Arial" w:cs="Arial"/>
          <w:sz w:val="22"/>
          <w:szCs w:val="22"/>
        </w:rPr>
        <w:t>odine</w:t>
      </w:r>
      <w:r w:rsidR="00D51A06">
        <w:rPr>
          <w:rFonts w:ascii="Arial" w:hAnsi="Arial" w:cs="Arial"/>
          <w:sz w:val="22"/>
          <w:szCs w:val="22"/>
        </w:rPr>
        <w:t xml:space="preserve"> </w:t>
      </w:r>
      <w:r w:rsidR="00D51A06" w:rsidRPr="00D51A06">
        <w:rPr>
          <w:rFonts w:ascii="Arial" w:hAnsi="Arial" w:cs="Arial"/>
          <w:sz w:val="22"/>
          <w:szCs w:val="22"/>
        </w:rPr>
        <w:t>(u daljnjem tekstu: Tehnička pomoć)</w:t>
      </w:r>
      <w:r w:rsidRPr="004F40E9">
        <w:rPr>
          <w:rFonts w:ascii="Arial" w:hAnsi="Arial" w:cs="Arial"/>
          <w:sz w:val="22"/>
          <w:szCs w:val="22"/>
        </w:rPr>
        <w:t>.</w:t>
      </w:r>
    </w:p>
    <w:p w:rsidR="0073198F" w:rsidRDefault="0073198F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41977" w:rsidRDefault="00041977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8443F" w:rsidRPr="00285CE8" w:rsidRDefault="0098443F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II. PRIHVATLJIV</w:t>
      </w:r>
      <w:r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 xml:space="preserve"> PRIJAVITELJ</w:t>
      </w:r>
      <w:r>
        <w:rPr>
          <w:rFonts w:ascii="Arial" w:hAnsi="Arial" w:cs="Arial"/>
          <w:b/>
          <w:sz w:val="22"/>
          <w:szCs w:val="22"/>
        </w:rPr>
        <w:t>I</w:t>
      </w:r>
    </w:p>
    <w:p w:rsidR="0098443F" w:rsidRDefault="0098443F" w:rsidP="0098443F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8443F" w:rsidRDefault="0098443F" w:rsidP="0098443F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3198F">
        <w:rPr>
          <w:rFonts w:ascii="Arial" w:hAnsi="Arial" w:cs="Arial"/>
          <w:sz w:val="22"/>
          <w:szCs w:val="22"/>
        </w:rPr>
        <w:t xml:space="preserve">Prihvatljivi prijavitelji </w:t>
      </w:r>
      <w:r w:rsidR="004D50B1">
        <w:rPr>
          <w:rFonts w:ascii="Arial" w:hAnsi="Arial" w:cs="Arial"/>
          <w:sz w:val="22"/>
          <w:szCs w:val="22"/>
        </w:rPr>
        <w:t xml:space="preserve">(u daljnjem tekstu: Korisnici) </w:t>
      </w:r>
      <w:r w:rsidRPr="0073198F">
        <w:rPr>
          <w:rFonts w:ascii="Arial" w:hAnsi="Arial" w:cs="Arial"/>
          <w:sz w:val="22"/>
          <w:szCs w:val="22"/>
        </w:rPr>
        <w:t xml:space="preserve">su jedinice lokalne samouprave sa područja Zagrebačke županije i pravne osobe kojima je osnivač i/ili većinski vlasnik Zagrebačka županija, a koji imaju do prijave na javni poziv ugovoren/naručen i u fazi izrade proizvod koji </w:t>
      </w:r>
      <w:r w:rsidR="004D50B1">
        <w:rPr>
          <w:rFonts w:ascii="Arial" w:hAnsi="Arial" w:cs="Arial"/>
          <w:sz w:val="22"/>
          <w:szCs w:val="22"/>
        </w:rPr>
        <w:t>je sastavni dio tehničke pomoći iz točke 5</w:t>
      </w:r>
      <w:r w:rsidR="004572A7">
        <w:rPr>
          <w:rFonts w:ascii="Arial" w:hAnsi="Arial" w:cs="Arial"/>
          <w:sz w:val="22"/>
          <w:szCs w:val="22"/>
        </w:rPr>
        <w:t>.</w:t>
      </w:r>
      <w:r w:rsidR="004D50B1">
        <w:rPr>
          <w:rFonts w:ascii="Arial" w:hAnsi="Arial" w:cs="Arial"/>
          <w:sz w:val="22"/>
          <w:szCs w:val="22"/>
        </w:rPr>
        <w:t xml:space="preserve"> ovih Uputa.</w:t>
      </w:r>
    </w:p>
    <w:p w:rsidR="0098443F" w:rsidRDefault="0098443F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1977" w:rsidRDefault="00041977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8443F" w:rsidRPr="00285CE8" w:rsidRDefault="0098443F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III. PRIHVATLJIV</w:t>
      </w:r>
      <w:r>
        <w:rPr>
          <w:rFonts w:ascii="Arial" w:hAnsi="Arial" w:cs="Arial"/>
          <w:b/>
          <w:sz w:val="22"/>
          <w:szCs w:val="22"/>
        </w:rPr>
        <w:t>I TROŠKOVI</w:t>
      </w:r>
      <w:r w:rsidRPr="00285CE8">
        <w:rPr>
          <w:rFonts w:ascii="Arial" w:hAnsi="Arial" w:cs="Arial"/>
          <w:b/>
          <w:sz w:val="22"/>
          <w:szCs w:val="22"/>
        </w:rPr>
        <w:t xml:space="preserve"> </w:t>
      </w:r>
    </w:p>
    <w:p w:rsidR="004D50B1" w:rsidRDefault="004D50B1" w:rsidP="004D50B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F35FE" w:rsidRPr="00002181" w:rsidRDefault="0098443F" w:rsidP="00AF35F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02181">
        <w:rPr>
          <w:rFonts w:ascii="Arial" w:hAnsi="Arial" w:cs="Arial"/>
          <w:sz w:val="22"/>
          <w:szCs w:val="22"/>
        </w:rPr>
        <w:t xml:space="preserve">Prihvatljivi troškovi su svi izdaci koji se odnose na izradu proizvoda iz Tehničke pomoći koji će biti izrađen </w:t>
      </w:r>
      <w:r w:rsidRPr="002E7857">
        <w:rPr>
          <w:rFonts w:ascii="Arial" w:hAnsi="Arial" w:cs="Arial"/>
          <w:sz w:val="22"/>
          <w:szCs w:val="22"/>
        </w:rPr>
        <w:t>najkasnije do 30. studenoga 201</w:t>
      </w:r>
      <w:r w:rsidR="00AF35FE" w:rsidRPr="002E7857">
        <w:rPr>
          <w:rFonts w:ascii="Arial" w:hAnsi="Arial" w:cs="Arial"/>
          <w:sz w:val="22"/>
          <w:szCs w:val="22"/>
        </w:rPr>
        <w:t>6</w:t>
      </w:r>
      <w:r w:rsidRPr="002E7857">
        <w:rPr>
          <w:rFonts w:ascii="Arial" w:hAnsi="Arial" w:cs="Arial"/>
          <w:sz w:val="22"/>
          <w:szCs w:val="22"/>
        </w:rPr>
        <w:t>. godine</w:t>
      </w:r>
      <w:r w:rsidRPr="00002181">
        <w:rPr>
          <w:rFonts w:ascii="Arial" w:hAnsi="Arial" w:cs="Arial"/>
          <w:sz w:val="22"/>
          <w:szCs w:val="22"/>
        </w:rPr>
        <w:t xml:space="preserve">, a čija je izrada ugovorena/naručena </w:t>
      </w:r>
      <w:r w:rsidR="00AF35FE" w:rsidRPr="007F4249">
        <w:rPr>
          <w:rFonts w:ascii="Arial" w:hAnsi="Arial" w:cs="Arial"/>
          <w:sz w:val="22"/>
          <w:szCs w:val="22"/>
        </w:rPr>
        <w:t>u periodu poslije 01. lipnja 2015. godine pa do prijave na Javni poziv.</w:t>
      </w:r>
      <w:bookmarkStart w:id="0" w:name="_GoBack"/>
      <w:bookmarkEnd w:id="0"/>
    </w:p>
    <w:p w:rsidR="0098443F" w:rsidRDefault="0098443F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1977" w:rsidRDefault="00041977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8443F" w:rsidRDefault="0098443F" w:rsidP="009844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IV. VISINA IZNOSA BESPOVRATN</w:t>
      </w:r>
      <w:r>
        <w:rPr>
          <w:rFonts w:ascii="Arial" w:hAnsi="Arial" w:cs="Arial"/>
          <w:b/>
          <w:sz w:val="22"/>
          <w:szCs w:val="22"/>
        </w:rPr>
        <w:t>E</w:t>
      </w:r>
      <w:r w:rsidRPr="00285CE8">
        <w:rPr>
          <w:rFonts w:ascii="Arial" w:hAnsi="Arial" w:cs="Arial"/>
          <w:b/>
          <w:sz w:val="22"/>
          <w:szCs w:val="22"/>
        </w:rPr>
        <w:t xml:space="preserve"> POTPOR</w:t>
      </w:r>
      <w:r>
        <w:rPr>
          <w:rFonts w:ascii="Arial" w:hAnsi="Arial" w:cs="Arial"/>
          <w:b/>
          <w:sz w:val="22"/>
          <w:szCs w:val="22"/>
        </w:rPr>
        <w:t xml:space="preserve">E </w:t>
      </w:r>
    </w:p>
    <w:p w:rsidR="004D50B1" w:rsidRDefault="004D50B1" w:rsidP="004D50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B1" w:rsidRPr="004D50B1" w:rsidRDefault="004D50B1" w:rsidP="004D50B1">
      <w:pPr>
        <w:jc w:val="both"/>
        <w:rPr>
          <w:rFonts w:ascii="Arial" w:hAnsi="Arial" w:cs="Arial"/>
          <w:sz w:val="22"/>
          <w:szCs w:val="22"/>
        </w:rPr>
      </w:pPr>
      <w:r w:rsidRPr="004D50B1">
        <w:rPr>
          <w:rFonts w:ascii="Arial" w:hAnsi="Arial" w:cs="Arial"/>
          <w:sz w:val="22"/>
          <w:szCs w:val="22"/>
        </w:rPr>
        <w:t>Maksimalna visina iznosa bespovratne potpore po jednom pojedinačnom proizvodu iz Tehničke pomoći  iznosi do 10.000,00 kn.</w:t>
      </w:r>
    </w:p>
    <w:p w:rsidR="004D50B1" w:rsidRPr="004D50B1" w:rsidRDefault="004D50B1" w:rsidP="004D50B1">
      <w:pPr>
        <w:jc w:val="both"/>
        <w:rPr>
          <w:rFonts w:ascii="Arial" w:hAnsi="Arial" w:cs="Arial"/>
          <w:sz w:val="22"/>
          <w:szCs w:val="22"/>
        </w:rPr>
      </w:pPr>
    </w:p>
    <w:p w:rsidR="004D50B1" w:rsidRPr="004D50B1" w:rsidRDefault="004D50B1" w:rsidP="004D50B1">
      <w:pPr>
        <w:jc w:val="both"/>
        <w:rPr>
          <w:rFonts w:ascii="Arial" w:hAnsi="Arial" w:cs="Arial"/>
          <w:sz w:val="22"/>
          <w:szCs w:val="22"/>
        </w:rPr>
      </w:pPr>
      <w:r w:rsidRPr="004D50B1">
        <w:rPr>
          <w:rFonts w:ascii="Arial" w:hAnsi="Arial" w:cs="Arial"/>
          <w:sz w:val="22"/>
          <w:szCs w:val="22"/>
        </w:rPr>
        <w:t>Maksimalna ukupna visina iznosa bespovratne potpore po jednom Korisniku za sve proizvode (a, b i c) iznosi do 60.000,00 kuna.</w:t>
      </w:r>
    </w:p>
    <w:p w:rsidR="0098443F" w:rsidRDefault="0098443F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41977" w:rsidRDefault="00041977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41977" w:rsidRDefault="004D50B1" w:rsidP="00002181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41977">
        <w:rPr>
          <w:rFonts w:ascii="Arial" w:hAnsi="Arial" w:cs="Arial"/>
          <w:b/>
          <w:sz w:val="22"/>
          <w:szCs w:val="22"/>
        </w:rPr>
        <w:lastRenderedPageBreak/>
        <w:t>V</w:t>
      </w:r>
      <w:r w:rsidR="0073198F" w:rsidRPr="00041977">
        <w:rPr>
          <w:rFonts w:ascii="Arial" w:hAnsi="Arial" w:cs="Arial"/>
          <w:b/>
          <w:sz w:val="22"/>
          <w:szCs w:val="22"/>
        </w:rPr>
        <w:t xml:space="preserve">. </w:t>
      </w:r>
      <w:r w:rsidR="00BB3F51" w:rsidRPr="00041977">
        <w:rPr>
          <w:rFonts w:ascii="Arial" w:hAnsi="Arial" w:cs="Arial"/>
          <w:b/>
          <w:sz w:val="22"/>
          <w:szCs w:val="22"/>
        </w:rPr>
        <w:t xml:space="preserve">TEHNIČKA POMOĆ ZA </w:t>
      </w:r>
      <w:r w:rsidR="00AF35FE" w:rsidRPr="00041977">
        <w:rPr>
          <w:rFonts w:ascii="Arial" w:hAnsi="Arial" w:cs="Arial"/>
          <w:b/>
          <w:sz w:val="22"/>
          <w:szCs w:val="22"/>
        </w:rPr>
        <w:t xml:space="preserve">IDENTIFIKACIJU PROJEKTNIH IDEJA, </w:t>
      </w:r>
      <w:r w:rsidR="00BB3F51" w:rsidRPr="00041977">
        <w:rPr>
          <w:rFonts w:ascii="Arial" w:hAnsi="Arial" w:cs="Arial"/>
          <w:b/>
          <w:sz w:val="22"/>
          <w:szCs w:val="22"/>
        </w:rPr>
        <w:t xml:space="preserve">PRIPREMU I PRIJAVU </w:t>
      </w:r>
    </w:p>
    <w:p w:rsidR="0073198F" w:rsidRDefault="00041977" w:rsidP="00041977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BB3F51" w:rsidRPr="00041977">
        <w:rPr>
          <w:rFonts w:ascii="Arial" w:hAnsi="Arial" w:cs="Arial"/>
          <w:b/>
          <w:sz w:val="22"/>
          <w:szCs w:val="22"/>
        </w:rPr>
        <w:t>PROJEKATA</w:t>
      </w:r>
    </w:p>
    <w:p w:rsidR="0098443F" w:rsidRDefault="0098443F" w:rsidP="00FD21ED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D21ED" w:rsidRPr="00FD21ED" w:rsidRDefault="00FD21ED" w:rsidP="00FD21ED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21ED">
        <w:rPr>
          <w:rFonts w:ascii="Arial" w:hAnsi="Arial" w:cs="Arial"/>
          <w:sz w:val="22"/>
          <w:szCs w:val="22"/>
        </w:rPr>
        <w:t xml:space="preserve">Tehnička pomoć iz ovog Javnog poziva uključuje stručnu pomoć konzultanta za proizvod: </w:t>
      </w:r>
    </w:p>
    <w:p w:rsidR="00BB3F51" w:rsidRPr="0098443F" w:rsidRDefault="00BB3F51" w:rsidP="0098443F">
      <w:pPr>
        <w:pStyle w:val="Odlomakpopisa"/>
        <w:numPr>
          <w:ilvl w:val="0"/>
          <w:numId w:val="11"/>
        </w:numPr>
        <w:spacing w:before="120" w:after="12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98443F">
        <w:rPr>
          <w:rFonts w:ascii="Arial" w:hAnsi="Arial" w:cs="Arial"/>
          <w:sz w:val="22"/>
          <w:szCs w:val="22"/>
        </w:rPr>
        <w:t xml:space="preserve">identifikaciju i evaluaciju projektnih ideja; </w:t>
      </w:r>
    </w:p>
    <w:p w:rsidR="00BB3F51" w:rsidRPr="0098443F" w:rsidRDefault="00BB3F51" w:rsidP="0098443F">
      <w:pPr>
        <w:pStyle w:val="Odlomakpopisa"/>
        <w:numPr>
          <w:ilvl w:val="0"/>
          <w:numId w:val="11"/>
        </w:numPr>
        <w:spacing w:before="120" w:after="12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98443F">
        <w:rPr>
          <w:rFonts w:ascii="Arial" w:hAnsi="Arial" w:cs="Arial"/>
          <w:sz w:val="22"/>
          <w:szCs w:val="22"/>
        </w:rPr>
        <w:t>pripremu projek</w:t>
      </w:r>
      <w:r w:rsidR="004D50B1">
        <w:rPr>
          <w:rFonts w:ascii="Arial" w:hAnsi="Arial" w:cs="Arial"/>
          <w:sz w:val="22"/>
          <w:szCs w:val="22"/>
        </w:rPr>
        <w:t>a</w:t>
      </w:r>
      <w:r w:rsidRPr="0098443F">
        <w:rPr>
          <w:rFonts w:ascii="Arial" w:hAnsi="Arial" w:cs="Arial"/>
          <w:sz w:val="22"/>
          <w:szCs w:val="22"/>
        </w:rPr>
        <w:t>ta;</w:t>
      </w:r>
    </w:p>
    <w:p w:rsidR="00BB3F51" w:rsidRPr="0098443F" w:rsidRDefault="00BB3F51" w:rsidP="0098443F">
      <w:pPr>
        <w:pStyle w:val="Odlomakpopisa"/>
        <w:numPr>
          <w:ilvl w:val="0"/>
          <w:numId w:val="11"/>
        </w:numPr>
        <w:spacing w:before="120" w:after="12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98443F">
        <w:rPr>
          <w:rFonts w:ascii="Arial" w:hAnsi="Arial" w:cs="Arial"/>
          <w:sz w:val="22"/>
          <w:szCs w:val="22"/>
        </w:rPr>
        <w:t>pisanje prijave projekta na natječaj.</w:t>
      </w:r>
    </w:p>
    <w:p w:rsidR="00BB3F51" w:rsidRPr="00BB3F51" w:rsidRDefault="00BB3F51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B3F51" w:rsidRDefault="00BB3F51" w:rsidP="0098443F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8443F">
        <w:rPr>
          <w:rFonts w:ascii="Arial" w:hAnsi="Arial" w:cs="Arial"/>
          <w:sz w:val="22"/>
          <w:szCs w:val="22"/>
        </w:rPr>
        <w:t xml:space="preserve">Tehnička pomoć </w:t>
      </w:r>
      <w:r w:rsidRPr="00103C66">
        <w:rPr>
          <w:rFonts w:ascii="Arial" w:hAnsi="Arial" w:cs="Arial"/>
          <w:b/>
          <w:sz w:val="22"/>
          <w:szCs w:val="22"/>
        </w:rPr>
        <w:t>za identifikaciju i evaluaciju projektnih ideja</w:t>
      </w:r>
      <w:r w:rsidRPr="0098443F">
        <w:rPr>
          <w:rFonts w:ascii="Arial" w:hAnsi="Arial" w:cs="Arial"/>
          <w:sz w:val="22"/>
          <w:szCs w:val="22"/>
        </w:rPr>
        <w:t xml:space="preserve"> kao prvi korak i početna faza u planiranju </w:t>
      </w:r>
      <w:r w:rsidR="00D51A06" w:rsidRPr="0098443F">
        <w:rPr>
          <w:rFonts w:ascii="Arial" w:hAnsi="Arial" w:cs="Arial"/>
          <w:sz w:val="22"/>
          <w:szCs w:val="22"/>
        </w:rPr>
        <w:t xml:space="preserve">i pripremi </w:t>
      </w:r>
      <w:r w:rsidRPr="0098443F">
        <w:rPr>
          <w:rFonts w:ascii="Arial" w:hAnsi="Arial" w:cs="Arial"/>
          <w:sz w:val="22"/>
          <w:szCs w:val="22"/>
        </w:rPr>
        <w:t>projekta kada još nisu poznati svi relevantni projektni parametri, zbog čega je razvoj projekta moguć u svim pravcima. Stoga ova tehnička pomoć obuhvaća aktivnosti koje se općenito temelje na identifikaciji problema i definiranju njegovog mogućeg</w:t>
      </w:r>
      <w:r w:rsidR="0098443F" w:rsidRPr="0098443F">
        <w:rPr>
          <w:rFonts w:ascii="Arial" w:hAnsi="Arial" w:cs="Arial"/>
          <w:sz w:val="22"/>
          <w:szCs w:val="22"/>
        </w:rPr>
        <w:t xml:space="preserve"> </w:t>
      </w:r>
      <w:r w:rsidRPr="0098443F">
        <w:rPr>
          <w:rFonts w:ascii="Arial" w:hAnsi="Arial" w:cs="Arial"/>
          <w:sz w:val="22"/>
          <w:szCs w:val="22"/>
        </w:rPr>
        <w:t xml:space="preserve">rješenja. Iz projektne ideje dizajnira se provediv projekt stoga je opis i sadržaj projektne ideje potrebno </w:t>
      </w:r>
      <w:r w:rsidR="00FD21ED" w:rsidRPr="0098443F">
        <w:rPr>
          <w:rFonts w:ascii="Arial" w:hAnsi="Arial" w:cs="Arial"/>
          <w:sz w:val="22"/>
          <w:szCs w:val="22"/>
        </w:rPr>
        <w:t xml:space="preserve">obvezno </w:t>
      </w:r>
      <w:r w:rsidRPr="0098443F">
        <w:rPr>
          <w:rFonts w:ascii="Arial" w:hAnsi="Arial" w:cs="Arial"/>
          <w:sz w:val="22"/>
          <w:szCs w:val="22"/>
        </w:rPr>
        <w:t>definirati prema sljedećem:</w:t>
      </w:r>
    </w:p>
    <w:p w:rsidR="00103C66" w:rsidRPr="0098443F" w:rsidRDefault="00103C66" w:rsidP="00103C66">
      <w:pPr>
        <w:pStyle w:val="Odlomakpopisa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kratak opis projektne ideje i ciljeva koji se žele postići te razlozi za provedbu;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relevantnost i usklađenost projektne ideje sa strateškim dokumentima lokalne i županijske razine;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ciljana skupina i krajnji korisnici;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suradnici i partneri;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planirani mjerljivi rezultati i glavne aktivnosti; </w:t>
      </w:r>
    </w:p>
    <w:p w:rsidR="00FD21ED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okvirni izračun troškova i identificiranje mogućih izvora financiranja</w:t>
      </w:r>
      <w:r w:rsidR="00FD21ED" w:rsidRPr="00103C66">
        <w:rPr>
          <w:rFonts w:ascii="Arial" w:hAnsi="Arial" w:cs="Arial"/>
          <w:sz w:val="22"/>
          <w:szCs w:val="22"/>
        </w:rPr>
        <w:t>;</w:t>
      </w:r>
    </w:p>
    <w:p w:rsidR="00BB3F51" w:rsidRPr="00103C66" w:rsidRDefault="00FD21ED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prijedlog daljnjih aktivnosti za izradu projektnog prijedloga</w:t>
      </w:r>
      <w:r w:rsidR="00BB3F51" w:rsidRPr="00103C66">
        <w:rPr>
          <w:rFonts w:ascii="Arial" w:hAnsi="Arial" w:cs="Arial"/>
          <w:sz w:val="22"/>
          <w:szCs w:val="22"/>
        </w:rPr>
        <w:t>.</w:t>
      </w:r>
    </w:p>
    <w:p w:rsidR="00BB3F51" w:rsidRPr="00103C66" w:rsidRDefault="004D50B1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03C66">
        <w:rPr>
          <w:rFonts w:ascii="Arial" w:hAnsi="Arial" w:cs="Arial"/>
          <w:sz w:val="22"/>
          <w:szCs w:val="22"/>
        </w:rPr>
        <w:tab/>
      </w:r>
      <w:r w:rsidR="00BB3F51" w:rsidRPr="00103C66">
        <w:rPr>
          <w:rFonts w:ascii="Arial" w:hAnsi="Arial" w:cs="Arial"/>
          <w:sz w:val="22"/>
          <w:szCs w:val="22"/>
          <w:u w:val="single"/>
        </w:rPr>
        <w:t>Kao dokaz o izvršenoj tehničkoj pomoći za identifikaciju i evaluaciju projektnih ideja služi: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završno izvješće Korisnika</w:t>
      </w:r>
      <w:r w:rsidR="00D51A06" w:rsidRPr="00103C66">
        <w:rPr>
          <w:rFonts w:ascii="Arial" w:hAnsi="Arial" w:cs="Arial"/>
          <w:sz w:val="22"/>
          <w:szCs w:val="22"/>
        </w:rPr>
        <w:t xml:space="preserve"> sredstava</w:t>
      </w:r>
      <w:r w:rsidRPr="00103C66">
        <w:rPr>
          <w:rFonts w:ascii="Arial" w:hAnsi="Arial" w:cs="Arial"/>
          <w:sz w:val="22"/>
          <w:szCs w:val="22"/>
        </w:rPr>
        <w:t xml:space="preserve"> o korištenoj tehničkoj pomoći; 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primjerak razrađene projektne ideje u pisanom i elektronskom obliku;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kopija računa pružatelja usluge – Konzultanta;</w:t>
      </w:r>
    </w:p>
    <w:p w:rsidR="00BB3F51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kopija izvoda o plaćanju usluge Konzultantu.</w:t>
      </w:r>
    </w:p>
    <w:p w:rsidR="00103C66" w:rsidRDefault="00103C66" w:rsidP="00103C66">
      <w:pPr>
        <w:pStyle w:val="Odlomakpopisa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41977" w:rsidRPr="00103C66" w:rsidRDefault="00041977" w:rsidP="00103C66">
      <w:pPr>
        <w:pStyle w:val="Odlomakpopisa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03C66" w:rsidRPr="00103C66" w:rsidRDefault="00BB3F51" w:rsidP="00103C66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Tehnička pomoć </w:t>
      </w:r>
      <w:r w:rsidRPr="00103C66">
        <w:rPr>
          <w:rFonts w:ascii="Arial" w:hAnsi="Arial" w:cs="Arial"/>
          <w:b/>
          <w:sz w:val="22"/>
          <w:szCs w:val="22"/>
        </w:rPr>
        <w:t>za pripremu projekata</w:t>
      </w:r>
      <w:r w:rsidRPr="00103C66">
        <w:rPr>
          <w:rFonts w:ascii="Arial" w:hAnsi="Arial" w:cs="Arial"/>
          <w:sz w:val="22"/>
          <w:szCs w:val="22"/>
        </w:rPr>
        <w:t xml:space="preserve"> kao viša faza razrade projekta uključuje razradu investicijskog ciklusa</w:t>
      </w:r>
      <w:r w:rsidR="00103C66" w:rsidRPr="00103C66">
        <w:rPr>
          <w:rFonts w:ascii="Arial" w:hAnsi="Arial" w:cs="Arial"/>
          <w:sz w:val="22"/>
          <w:szCs w:val="22"/>
        </w:rPr>
        <w:t>,</w:t>
      </w:r>
      <w:r w:rsidRPr="00103C66">
        <w:rPr>
          <w:rFonts w:ascii="Arial" w:hAnsi="Arial" w:cs="Arial"/>
          <w:sz w:val="22"/>
          <w:szCs w:val="22"/>
        </w:rPr>
        <w:t xml:space="preserve"> a </w:t>
      </w:r>
      <w:r w:rsidR="00FD21ED" w:rsidRPr="00103C66">
        <w:rPr>
          <w:rFonts w:ascii="Arial" w:hAnsi="Arial" w:cs="Arial"/>
          <w:sz w:val="22"/>
          <w:szCs w:val="22"/>
        </w:rPr>
        <w:t>obvezno</w:t>
      </w:r>
      <w:r w:rsidR="00103C66">
        <w:rPr>
          <w:rFonts w:ascii="Arial" w:hAnsi="Arial" w:cs="Arial"/>
          <w:sz w:val="22"/>
          <w:szCs w:val="22"/>
        </w:rPr>
        <w:t>:</w:t>
      </w:r>
    </w:p>
    <w:p w:rsidR="00103C66" w:rsidRDefault="00103C66" w:rsidP="00103C66">
      <w:pPr>
        <w:pStyle w:val="Odlomakpopisa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utvrđivanje stanja projekta (analiza i ocjena stanja pripremljenosti dokumentacije);</w:t>
      </w:r>
    </w:p>
    <w:p w:rsid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3F51">
        <w:rPr>
          <w:rFonts w:ascii="Arial" w:hAnsi="Arial" w:cs="Arial"/>
          <w:sz w:val="22"/>
          <w:szCs w:val="22"/>
        </w:rPr>
        <w:t>usklađenost sa strateškim dokumentima lokalne i županijske razine;</w:t>
      </w:r>
    </w:p>
    <w:p w:rsid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3F51">
        <w:rPr>
          <w:rFonts w:ascii="Arial" w:hAnsi="Arial" w:cs="Arial"/>
          <w:sz w:val="22"/>
          <w:szCs w:val="22"/>
        </w:rPr>
        <w:t>razradu projekta (definiranje obuhvata projekta, ciljeva i aktivnosti proj</w:t>
      </w:r>
      <w:r w:rsidR="00103C66">
        <w:rPr>
          <w:rFonts w:ascii="Arial" w:hAnsi="Arial" w:cs="Arial"/>
          <w:sz w:val="22"/>
          <w:szCs w:val="22"/>
        </w:rPr>
        <w:t xml:space="preserve">ekta, prijedlog </w:t>
      </w:r>
      <w:r w:rsidRPr="00BB3F51">
        <w:rPr>
          <w:rFonts w:ascii="Arial" w:hAnsi="Arial" w:cs="Arial"/>
          <w:sz w:val="22"/>
          <w:szCs w:val="22"/>
        </w:rPr>
        <w:t>mogućih dionika, procjenu proračuna, definiranje rezultata</w:t>
      </w:r>
      <w:r w:rsidR="00103C66">
        <w:rPr>
          <w:rFonts w:ascii="Arial" w:hAnsi="Arial" w:cs="Arial"/>
          <w:sz w:val="22"/>
          <w:szCs w:val="22"/>
        </w:rPr>
        <w:t xml:space="preserve">, opis relevantnosti, procjenu </w:t>
      </w:r>
      <w:r w:rsidRPr="00BB3F51">
        <w:rPr>
          <w:rFonts w:ascii="Arial" w:hAnsi="Arial" w:cs="Arial"/>
          <w:sz w:val="22"/>
          <w:szCs w:val="22"/>
        </w:rPr>
        <w:t>mogućnosti realizacije investicije i održivosti projekta);</w:t>
      </w:r>
      <w:r w:rsidR="00103C66">
        <w:rPr>
          <w:rFonts w:ascii="Arial" w:hAnsi="Arial" w:cs="Arial"/>
          <w:sz w:val="22"/>
          <w:szCs w:val="22"/>
        </w:rPr>
        <w:t xml:space="preserve"> </w:t>
      </w:r>
    </w:p>
    <w:p w:rsid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3F51">
        <w:rPr>
          <w:rFonts w:ascii="Arial" w:hAnsi="Arial" w:cs="Arial"/>
          <w:sz w:val="22"/>
          <w:szCs w:val="22"/>
        </w:rPr>
        <w:t>plan potrebne i postojeće projektne dokumentacije, tj. pot</w:t>
      </w:r>
      <w:r w:rsidR="00103C66">
        <w:rPr>
          <w:rFonts w:ascii="Arial" w:hAnsi="Arial" w:cs="Arial"/>
          <w:sz w:val="22"/>
          <w:szCs w:val="22"/>
        </w:rPr>
        <w:t xml:space="preserve">reba izrade studija (studija </w:t>
      </w:r>
      <w:r w:rsidRPr="00BB3F51">
        <w:rPr>
          <w:rFonts w:ascii="Arial" w:hAnsi="Arial" w:cs="Arial"/>
          <w:sz w:val="22"/>
          <w:szCs w:val="22"/>
        </w:rPr>
        <w:t>izvedivosti, studija procjene utjecaja na okoliš, analiza troškova i ko</w:t>
      </w:r>
      <w:r w:rsidR="00103C66">
        <w:rPr>
          <w:rFonts w:ascii="Arial" w:hAnsi="Arial" w:cs="Arial"/>
          <w:sz w:val="22"/>
          <w:szCs w:val="22"/>
        </w:rPr>
        <w:t>risti i dr.) te potreba izrade</w:t>
      </w:r>
      <w:r w:rsidRPr="00BB3F51">
        <w:rPr>
          <w:rFonts w:ascii="Arial" w:hAnsi="Arial" w:cs="Arial"/>
          <w:sz w:val="22"/>
          <w:szCs w:val="22"/>
        </w:rPr>
        <w:t xml:space="preserve"> projektne i tehničke dokumentacije (idejni projekt, izvedbeni projekt, glavni projekt, građevinska dozvola, troškovnik projekta koji ima potvrdu da nije potrebna građevinska dozvola te ostali dokumenti koji su regulirani natječajem, zakonom i drugim propisima);</w:t>
      </w:r>
      <w:r w:rsidR="00103C66">
        <w:rPr>
          <w:rFonts w:ascii="Arial" w:hAnsi="Arial" w:cs="Arial"/>
          <w:sz w:val="22"/>
          <w:szCs w:val="22"/>
        </w:rPr>
        <w:t xml:space="preserve"> </w:t>
      </w:r>
    </w:p>
    <w:p w:rsidR="00BB3F51" w:rsidRPr="00BB3F51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3F51">
        <w:rPr>
          <w:rFonts w:ascii="Arial" w:hAnsi="Arial" w:cs="Arial"/>
          <w:sz w:val="22"/>
          <w:szCs w:val="22"/>
        </w:rPr>
        <w:lastRenderedPageBreak/>
        <w:t xml:space="preserve">plan upravljanja projektom (struktura, postupci, procjena troškova i vremenski tijek s </w:t>
      </w:r>
      <w:proofErr w:type="spellStart"/>
      <w:r w:rsidRPr="00BB3F51">
        <w:rPr>
          <w:rFonts w:ascii="Arial" w:hAnsi="Arial" w:cs="Arial"/>
          <w:sz w:val="22"/>
          <w:szCs w:val="22"/>
        </w:rPr>
        <w:t>gantogramom</w:t>
      </w:r>
      <w:proofErr w:type="spellEnd"/>
      <w:r w:rsidRPr="00BB3F51">
        <w:rPr>
          <w:rFonts w:ascii="Arial" w:hAnsi="Arial" w:cs="Arial"/>
          <w:sz w:val="22"/>
          <w:szCs w:val="22"/>
        </w:rPr>
        <w:t>).</w:t>
      </w:r>
    </w:p>
    <w:p w:rsidR="00BB3F51" w:rsidRPr="00103C66" w:rsidRDefault="00BB3F51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BB3F51">
        <w:rPr>
          <w:rFonts w:ascii="Arial" w:hAnsi="Arial" w:cs="Arial"/>
          <w:sz w:val="22"/>
          <w:szCs w:val="22"/>
        </w:rPr>
        <w:t xml:space="preserve">       </w:t>
      </w:r>
      <w:r w:rsidR="00103C66">
        <w:rPr>
          <w:rFonts w:ascii="Arial" w:hAnsi="Arial" w:cs="Arial"/>
          <w:sz w:val="22"/>
          <w:szCs w:val="22"/>
        </w:rPr>
        <w:tab/>
      </w:r>
      <w:r w:rsidRPr="00103C66">
        <w:rPr>
          <w:rFonts w:ascii="Arial" w:hAnsi="Arial" w:cs="Arial"/>
          <w:sz w:val="22"/>
          <w:szCs w:val="22"/>
          <w:u w:val="single"/>
        </w:rPr>
        <w:t>Kao dokaz o izvršenoj tehničkoj pomoći za pripremu projekta služi: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završno izvješće Korisnika </w:t>
      </w:r>
      <w:r w:rsidR="00D51A06" w:rsidRPr="00103C66">
        <w:rPr>
          <w:rFonts w:ascii="Arial" w:hAnsi="Arial" w:cs="Arial"/>
          <w:sz w:val="22"/>
          <w:szCs w:val="22"/>
        </w:rPr>
        <w:t xml:space="preserve">sredstava </w:t>
      </w:r>
      <w:r w:rsidRPr="00103C66">
        <w:rPr>
          <w:rFonts w:ascii="Arial" w:hAnsi="Arial" w:cs="Arial"/>
          <w:sz w:val="22"/>
          <w:szCs w:val="22"/>
        </w:rPr>
        <w:t xml:space="preserve">o korištenoj tehničkoj pomoći;  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primjerak razrađene pripreme projekta u pisanom i elektronskom obliku;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kopija računa pružatelja usluge – Konzultanta;</w:t>
      </w:r>
    </w:p>
    <w:p w:rsidR="00BB3F51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kopija izvoda o plaćanju usluge Konzultantu.</w:t>
      </w:r>
    </w:p>
    <w:p w:rsidR="00103C66" w:rsidRDefault="00103C66" w:rsidP="00103C66">
      <w:pPr>
        <w:pStyle w:val="Odlomakpopisa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41977" w:rsidRPr="00103C66" w:rsidRDefault="00041977" w:rsidP="00103C66">
      <w:pPr>
        <w:pStyle w:val="Odlomakpopisa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03C66" w:rsidRDefault="00BB3F51" w:rsidP="00002181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Tehnička pomoć </w:t>
      </w:r>
      <w:r w:rsidRPr="00103C66">
        <w:rPr>
          <w:rFonts w:ascii="Arial" w:hAnsi="Arial" w:cs="Arial"/>
          <w:b/>
          <w:sz w:val="22"/>
          <w:szCs w:val="22"/>
        </w:rPr>
        <w:t xml:space="preserve">za pisanje prijave projekta na natječaj </w:t>
      </w:r>
      <w:r w:rsidRPr="00103C66">
        <w:rPr>
          <w:rFonts w:ascii="Arial" w:hAnsi="Arial" w:cs="Arial"/>
          <w:sz w:val="22"/>
          <w:szCs w:val="22"/>
        </w:rPr>
        <w:t>obuhvaća pružanje tehničke pomoći Korisniku radi:</w:t>
      </w:r>
    </w:p>
    <w:p w:rsidR="00103C66" w:rsidRDefault="00103C66" w:rsidP="00103C66">
      <w:pPr>
        <w:pStyle w:val="Odlomakpopisa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03C66" w:rsidRPr="00103C66" w:rsidRDefault="00BB3F51" w:rsidP="00103C66">
      <w:pPr>
        <w:pStyle w:val="Odlomakpopis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lakšeg, boljeg i bržeg pisanja prijave projekta za prijavu na</w:t>
      </w:r>
      <w:r w:rsidR="00103C66" w:rsidRPr="00103C66">
        <w:rPr>
          <w:rFonts w:ascii="Arial" w:hAnsi="Arial" w:cs="Arial"/>
          <w:sz w:val="22"/>
          <w:szCs w:val="22"/>
        </w:rPr>
        <w:t xml:space="preserve"> natječaje u okviru operativnih</w:t>
      </w:r>
      <w:r w:rsidRPr="00103C66">
        <w:rPr>
          <w:rFonts w:ascii="Arial" w:hAnsi="Arial" w:cs="Arial"/>
          <w:sz w:val="22"/>
          <w:szCs w:val="22"/>
        </w:rPr>
        <w:t xml:space="preserve"> programa Republike Hrvatske</w:t>
      </w:r>
      <w:r w:rsidR="00103C66">
        <w:rPr>
          <w:rFonts w:ascii="Arial" w:hAnsi="Arial" w:cs="Arial"/>
          <w:sz w:val="22"/>
          <w:szCs w:val="22"/>
        </w:rPr>
        <w:t>,</w:t>
      </w:r>
      <w:r w:rsidRPr="00103C66">
        <w:rPr>
          <w:rFonts w:ascii="Arial" w:hAnsi="Arial" w:cs="Arial"/>
          <w:sz w:val="22"/>
          <w:szCs w:val="22"/>
        </w:rPr>
        <w:t xml:space="preserve"> a koji će se financirati iz strukturnih i investicijskih fondova kao i programa Europske unije</w:t>
      </w:r>
      <w:r w:rsidR="00103C66" w:rsidRPr="00103C66">
        <w:rPr>
          <w:rFonts w:ascii="Arial" w:hAnsi="Arial" w:cs="Arial"/>
          <w:sz w:val="22"/>
          <w:szCs w:val="22"/>
        </w:rPr>
        <w:t xml:space="preserve">; 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izrade potpune prijave s prijavnim obrascima, izjavama i prilozima prema uvjetima natječaja</w:t>
      </w:r>
      <w:r w:rsidR="00041977">
        <w:rPr>
          <w:rFonts w:ascii="Arial" w:hAnsi="Arial" w:cs="Arial"/>
          <w:sz w:val="22"/>
          <w:szCs w:val="22"/>
        </w:rPr>
        <w:t>,</w:t>
      </w:r>
      <w:r w:rsidRPr="00103C66">
        <w:rPr>
          <w:rFonts w:ascii="Arial" w:hAnsi="Arial" w:cs="Arial"/>
          <w:sz w:val="22"/>
          <w:szCs w:val="22"/>
        </w:rPr>
        <w:t xml:space="preserve"> što u konačnici rezultira prijavom projekta na konkretni natječaj.</w:t>
      </w:r>
    </w:p>
    <w:p w:rsidR="00103C66" w:rsidRDefault="00103C66" w:rsidP="0000218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B3F51" w:rsidRPr="00103C66" w:rsidRDefault="00BB3F51" w:rsidP="00103C66">
      <w:pPr>
        <w:spacing w:after="20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103C66">
        <w:rPr>
          <w:rFonts w:ascii="Arial" w:hAnsi="Arial" w:cs="Arial"/>
          <w:sz w:val="22"/>
          <w:szCs w:val="22"/>
          <w:u w:val="single"/>
        </w:rPr>
        <w:t>Kao dokaz o izvršenoj tehničkoj pomoći za pisanje prijave projekta na natječaj služi</w:t>
      </w:r>
      <w:r w:rsidR="00103C66" w:rsidRPr="00103C66">
        <w:rPr>
          <w:rFonts w:ascii="Arial" w:hAnsi="Arial" w:cs="Arial"/>
          <w:sz w:val="22"/>
          <w:szCs w:val="22"/>
          <w:u w:val="single"/>
        </w:rPr>
        <w:t>:</w:t>
      </w:r>
      <w:r w:rsidRPr="00103C6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završno izvješće Korisnika </w:t>
      </w:r>
      <w:r w:rsidR="00D51A06" w:rsidRPr="00103C66">
        <w:rPr>
          <w:rFonts w:ascii="Arial" w:hAnsi="Arial" w:cs="Arial"/>
          <w:sz w:val="22"/>
          <w:szCs w:val="22"/>
        </w:rPr>
        <w:t xml:space="preserve">sredstava </w:t>
      </w:r>
      <w:r w:rsidRPr="00103C66">
        <w:rPr>
          <w:rFonts w:ascii="Arial" w:hAnsi="Arial" w:cs="Arial"/>
          <w:sz w:val="22"/>
          <w:szCs w:val="22"/>
        </w:rPr>
        <w:t xml:space="preserve">o korištenoj tehničkoj pomoći;  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kopija </w:t>
      </w:r>
      <w:r w:rsidR="00FD21ED" w:rsidRPr="00103C66">
        <w:rPr>
          <w:rFonts w:ascii="Arial" w:hAnsi="Arial" w:cs="Arial"/>
          <w:sz w:val="22"/>
          <w:szCs w:val="22"/>
        </w:rPr>
        <w:t>p</w:t>
      </w:r>
      <w:r w:rsidRPr="00103C66">
        <w:rPr>
          <w:rFonts w:ascii="Arial" w:hAnsi="Arial" w:cs="Arial"/>
          <w:sz w:val="22"/>
          <w:szCs w:val="22"/>
        </w:rPr>
        <w:t>rijavn</w:t>
      </w:r>
      <w:r w:rsidR="00FD21ED" w:rsidRPr="00103C66">
        <w:rPr>
          <w:rFonts w:ascii="Arial" w:hAnsi="Arial" w:cs="Arial"/>
          <w:sz w:val="22"/>
          <w:szCs w:val="22"/>
        </w:rPr>
        <w:t>ih</w:t>
      </w:r>
      <w:r w:rsidRPr="00103C66">
        <w:rPr>
          <w:rFonts w:ascii="Arial" w:hAnsi="Arial" w:cs="Arial"/>
          <w:sz w:val="22"/>
          <w:szCs w:val="22"/>
        </w:rPr>
        <w:t xml:space="preserve"> obra</w:t>
      </w:r>
      <w:r w:rsidR="00FD21ED" w:rsidRPr="00103C66">
        <w:rPr>
          <w:rFonts w:ascii="Arial" w:hAnsi="Arial" w:cs="Arial"/>
          <w:sz w:val="22"/>
          <w:szCs w:val="22"/>
        </w:rPr>
        <w:t>za</w:t>
      </w:r>
      <w:r w:rsidRPr="00103C66">
        <w:rPr>
          <w:rFonts w:ascii="Arial" w:hAnsi="Arial" w:cs="Arial"/>
          <w:sz w:val="22"/>
          <w:szCs w:val="22"/>
        </w:rPr>
        <w:t>ca natječaja u elektronskom obliku;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>kopija račun pružatelja usluge – Konzultanta;</w:t>
      </w:r>
    </w:p>
    <w:p w:rsidR="00BB3F51" w:rsidRPr="00103C66" w:rsidRDefault="00BB3F51" w:rsidP="00103C66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03C66">
        <w:rPr>
          <w:rFonts w:ascii="Arial" w:hAnsi="Arial" w:cs="Arial"/>
          <w:sz w:val="22"/>
          <w:szCs w:val="22"/>
        </w:rPr>
        <w:t xml:space="preserve">kopija izvoda o plaćanju usluge Konzultantu. </w:t>
      </w:r>
    </w:p>
    <w:p w:rsidR="004F40E9" w:rsidRDefault="004F40E9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3304" w:rsidRPr="00285CE8" w:rsidRDefault="000649EB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VI. NA</w:t>
      </w:r>
      <w:r w:rsidR="004F40E9">
        <w:rPr>
          <w:rFonts w:ascii="Arial" w:hAnsi="Arial" w:cs="Arial"/>
          <w:b/>
          <w:sz w:val="22"/>
          <w:szCs w:val="22"/>
        </w:rPr>
        <w:t>Č</w:t>
      </w:r>
      <w:r w:rsidRPr="00285CE8">
        <w:rPr>
          <w:rFonts w:ascii="Arial" w:hAnsi="Arial" w:cs="Arial"/>
          <w:b/>
          <w:sz w:val="22"/>
          <w:szCs w:val="22"/>
        </w:rPr>
        <w:t xml:space="preserve">IN PRIJAVE ZA </w:t>
      </w:r>
      <w:r w:rsidR="004F40E9">
        <w:rPr>
          <w:rFonts w:ascii="Arial" w:hAnsi="Arial" w:cs="Arial"/>
          <w:b/>
          <w:sz w:val="22"/>
          <w:szCs w:val="22"/>
        </w:rPr>
        <w:t>DODJELU POTPORE</w:t>
      </w:r>
    </w:p>
    <w:p w:rsidR="00803137" w:rsidRDefault="00803137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92EAD" w:rsidRPr="00692EAD" w:rsidRDefault="00692EAD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92EAD">
        <w:rPr>
          <w:rFonts w:ascii="Arial" w:hAnsi="Arial" w:cs="Arial"/>
          <w:sz w:val="22"/>
          <w:szCs w:val="22"/>
        </w:rPr>
        <w:t xml:space="preserve">Podnositelj prijave dostavlja sljedeću dokumentaciju: </w:t>
      </w:r>
    </w:p>
    <w:p w:rsidR="00692EAD" w:rsidRPr="00803137" w:rsidRDefault="00692EAD" w:rsidP="00803137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03137">
        <w:rPr>
          <w:rFonts w:ascii="Arial" w:hAnsi="Arial" w:cs="Arial"/>
          <w:sz w:val="22"/>
          <w:szCs w:val="22"/>
        </w:rPr>
        <w:t>ispunjen prijavni obrazac Zagrebačke županije</w:t>
      </w:r>
      <w:r w:rsidR="00002181" w:rsidRPr="00803137">
        <w:rPr>
          <w:rFonts w:ascii="Arial" w:hAnsi="Arial" w:cs="Arial"/>
          <w:sz w:val="22"/>
          <w:szCs w:val="22"/>
        </w:rPr>
        <w:t xml:space="preserve"> „TPK“</w:t>
      </w:r>
      <w:r w:rsidRPr="00803137">
        <w:rPr>
          <w:rFonts w:ascii="Arial" w:hAnsi="Arial" w:cs="Arial"/>
          <w:sz w:val="22"/>
          <w:szCs w:val="22"/>
        </w:rPr>
        <w:t>;</w:t>
      </w:r>
    </w:p>
    <w:p w:rsidR="00692EAD" w:rsidRPr="00803137" w:rsidRDefault="00692EAD" w:rsidP="00803137">
      <w:pPr>
        <w:pStyle w:val="Odlomakpopis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03137">
        <w:rPr>
          <w:rFonts w:ascii="Arial" w:hAnsi="Arial" w:cs="Arial"/>
          <w:sz w:val="22"/>
          <w:szCs w:val="22"/>
        </w:rPr>
        <w:t>dokaz o ugovorenoj/naručenoj izradi proizvoda (ugovor, narudžbenica)</w:t>
      </w:r>
      <w:r w:rsidR="00002181" w:rsidRPr="00803137">
        <w:rPr>
          <w:rFonts w:ascii="Arial" w:hAnsi="Arial" w:cs="Arial"/>
          <w:sz w:val="22"/>
          <w:szCs w:val="22"/>
        </w:rPr>
        <w:t>.</w:t>
      </w:r>
    </w:p>
    <w:p w:rsidR="000649EB" w:rsidRPr="00002181" w:rsidRDefault="00692EAD" w:rsidP="00803137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02181">
        <w:rPr>
          <w:rFonts w:ascii="Arial" w:hAnsi="Arial" w:cs="Arial"/>
          <w:sz w:val="22"/>
          <w:szCs w:val="22"/>
        </w:rPr>
        <w:t>Za svaki pojedinačni proizvod Tehničke pomoći za koji se traži bespovratna potpora, prijava se  podnosi na zasebnom obrascu uz navedenu dokumentaciju.</w:t>
      </w:r>
      <w:r w:rsidR="000649EB" w:rsidRPr="00002181">
        <w:rPr>
          <w:rFonts w:ascii="Arial" w:hAnsi="Arial" w:cs="Arial"/>
          <w:sz w:val="22"/>
          <w:szCs w:val="22"/>
        </w:rPr>
        <w:t xml:space="preserve"> </w:t>
      </w:r>
    </w:p>
    <w:p w:rsidR="00A61CC7" w:rsidRDefault="00A61CC7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1977" w:rsidRDefault="00041977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</w:t>
      </w:r>
      <w:r w:rsidR="000649EB" w:rsidRPr="00285CE8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>. OBVEZA POSTUPANJA SUKLADNO UPUTAMA I TEKSTU JAVNOG POZIVA</w:t>
      </w:r>
    </w:p>
    <w:p w:rsidR="00803137" w:rsidRDefault="00803137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16D8A" w:rsidRPr="00285CE8" w:rsidRDefault="00D4259F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Prijavitelji su obvezni </w:t>
      </w:r>
      <w:r w:rsidR="00345724" w:rsidRPr="00285CE8">
        <w:rPr>
          <w:rFonts w:ascii="Arial" w:hAnsi="Arial" w:cs="Arial"/>
          <w:sz w:val="22"/>
          <w:szCs w:val="22"/>
        </w:rPr>
        <w:t xml:space="preserve">prijavu za </w:t>
      </w:r>
      <w:r w:rsidR="004329A4" w:rsidRPr="00285CE8">
        <w:rPr>
          <w:rFonts w:ascii="Arial" w:hAnsi="Arial" w:cs="Arial"/>
          <w:sz w:val="22"/>
          <w:szCs w:val="22"/>
        </w:rPr>
        <w:t xml:space="preserve">dodjelu bespovratnih potpora </w:t>
      </w:r>
      <w:r w:rsidRPr="00285CE8">
        <w:rPr>
          <w:rFonts w:ascii="Arial" w:hAnsi="Arial" w:cs="Arial"/>
          <w:sz w:val="22"/>
          <w:szCs w:val="22"/>
        </w:rPr>
        <w:t xml:space="preserve">izraditi sukladno ovim uputama i tekstu javnog poziva. Prijavitelji su obvezni ispuniti prijavu na obrascu za prijavu. Uz prijavu </w:t>
      </w:r>
      <w:r w:rsidR="00345724" w:rsidRPr="00285CE8">
        <w:rPr>
          <w:rFonts w:ascii="Arial" w:hAnsi="Arial" w:cs="Arial"/>
          <w:sz w:val="22"/>
          <w:szCs w:val="22"/>
        </w:rPr>
        <w:t xml:space="preserve">su </w:t>
      </w:r>
      <w:r w:rsidRPr="00285CE8">
        <w:rPr>
          <w:rFonts w:ascii="Arial" w:hAnsi="Arial" w:cs="Arial"/>
          <w:sz w:val="22"/>
          <w:szCs w:val="22"/>
        </w:rPr>
        <w:t xml:space="preserve">obvezni dostaviti potrebnu dokumentaciju. Obrazac za prijavu dostupan je na službenoj mrežnoj (web) stranici Zagrebačke županije. </w:t>
      </w:r>
    </w:p>
    <w:p w:rsidR="00803137" w:rsidRDefault="00803137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5581B" w:rsidRPr="00285CE8" w:rsidRDefault="00D4259F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Prijava izrađena suprotno tekstu Javnog poziva i ovim Uputama smatrat će se neprihvatljivom i kao takva se neće razmatrati.</w:t>
      </w:r>
      <w:r w:rsidR="00B16D8A" w:rsidRPr="00285CE8">
        <w:rPr>
          <w:rFonts w:ascii="Arial" w:hAnsi="Arial" w:cs="Arial"/>
          <w:sz w:val="22"/>
          <w:szCs w:val="22"/>
        </w:rPr>
        <w:t xml:space="preserve"> Nepotpune prijave</w:t>
      </w:r>
      <w:r w:rsidR="002922B0">
        <w:rPr>
          <w:rFonts w:ascii="Arial" w:hAnsi="Arial" w:cs="Arial"/>
          <w:sz w:val="22"/>
          <w:szCs w:val="22"/>
        </w:rPr>
        <w:t xml:space="preserve"> i</w:t>
      </w:r>
      <w:r w:rsidR="00B16D8A" w:rsidRPr="00285CE8">
        <w:rPr>
          <w:rFonts w:ascii="Arial" w:hAnsi="Arial" w:cs="Arial"/>
          <w:sz w:val="22"/>
          <w:szCs w:val="22"/>
        </w:rPr>
        <w:t xml:space="preserve"> prijave zaprimljene izvan roka neće se razmatrati.</w:t>
      </w:r>
    </w:p>
    <w:p w:rsidR="0095581B" w:rsidRDefault="0095581B" w:rsidP="00002181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041977" w:rsidRPr="00285CE8" w:rsidRDefault="00041977" w:rsidP="00002181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VII</w:t>
      </w:r>
      <w:r w:rsidR="000649EB" w:rsidRPr="00285CE8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 xml:space="preserve">. PREGLED I OCJENA </w:t>
      </w:r>
      <w:r w:rsidR="00C32288" w:rsidRPr="00285CE8">
        <w:rPr>
          <w:rFonts w:ascii="Arial" w:hAnsi="Arial" w:cs="Arial"/>
          <w:b/>
          <w:sz w:val="22"/>
          <w:szCs w:val="22"/>
        </w:rPr>
        <w:t>PRIJAVA</w:t>
      </w:r>
    </w:p>
    <w:p w:rsidR="00803137" w:rsidRDefault="00803137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Pregled pristiglih prijava na javni</w:t>
      </w:r>
      <w:r w:rsidR="00345724" w:rsidRPr="00285CE8">
        <w:rPr>
          <w:rFonts w:ascii="Arial" w:hAnsi="Arial" w:cs="Arial"/>
          <w:sz w:val="22"/>
          <w:szCs w:val="22"/>
        </w:rPr>
        <w:t xml:space="preserve"> poziv, te prijedlog </w:t>
      </w:r>
      <w:r w:rsidR="002922B0">
        <w:rPr>
          <w:rFonts w:ascii="Arial" w:hAnsi="Arial" w:cs="Arial"/>
          <w:sz w:val="22"/>
          <w:szCs w:val="22"/>
        </w:rPr>
        <w:t>o</w:t>
      </w:r>
      <w:r w:rsidR="00345724" w:rsidRPr="00285CE8">
        <w:rPr>
          <w:rFonts w:ascii="Arial" w:hAnsi="Arial" w:cs="Arial"/>
          <w:sz w:val="22"/>
          <w:szCs w:val="22"/>
        </w:rPr>
        <w:t xml:space="preserve">dluke o </w:t>
      </w:r>
      <w:r w:rsidR="00A81EA2">
        <w:rPr>
          <w:rFonts w:ascii="Arial" w:hAnsi="Arial" w:cs="Arial"/>
          <w:sz w:val="22"/>
          <w:szCs w:val="22"/>
        </w:rPr>
        <w:t>dodjeli bespovratne potpore</w:t>
      </w:r>
      <w:r w:rsidRPr="00285CE8">
        <w:rPr>
          <w:rFonts w:ascii="Arial" w:hAnsi="Arial" w:cs="Arial"/>
          <w:sz w:val="22"/>
          <w:szCs w:val="22"/>
        </w:rPr>
        <w:t xml:space="preserve"> izvršit</w:t>
      </w:r>
      <w:r w:rsidR="00345724" w:rsidRPr="00285CE8">
        <w:rPr>
          <w:rFonts w:ascii="Arial" w:hAnsi="Arial" w:cs="Arial"/>
          <w:sz w:val="22"/>
          <w:szCs w:val="22"/>
        </w:rPr>
        <w:t xml:space="preserve"> </w:t>
      </w:r>
      <w:r w:rsidRPr="00285CE8">
        <w:rPr>
          <w:rFonts w:ascii="Arial" w:hAnsi="Arial" w:cs="Arial"/>
          <w:sz w:val="22"/>
          <w:szCs w:val="22"/>
        </w:rPr>
        <w:t xml:space="preserve">će Upravni odjel za fondove Europske unije, regionalnu i međunarodnu suradnju Zagrebačke županije. </w:t>
      </w:r>
    </w:p>
    <w:p w:rsidR="00803137" w:rsidRDefault="00803137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Povjerenstvo za odabir projekata  imenovano  odlukom  Župana,  daje mišljenje na prijedlog navedene </w:t>
      </w:r>
      <w:r w:rsidR="002922B0">
        <w:rPr>
          <w:rFonts w:ascii="Arial" w:hAnsi="Arial" w:cs="Arial"/>
          <w:sz w:val="22"/>
          <w:szCs w:val="22"/>
        </w:rPr>
        <w:t>o</w:t>
      </w:r>
      <w:r w:rsidR="00803137">
        <w:rPr>
          <w:rFonts w:ascii="Arial" w:hAnsi="Arial" w:cs="Arial"/>
          <w:sz w:val="22"/>
          <w:szCs w:val="22"/>
        </w:rPr>
        <w:t>dluke na temelju kojeg</w:t>
      </w:r>
      <w:r w:rsidRPr="00285CE8">
        <w:rPr>
          <w:rFonts w:ascii="Arial" w:hAnsi="Arial" w:cs="Arial"/>
          <w:sz w:val="22"/>
          <w:szCs w:val="22"/>
        </w:rPr>
        <w:t xml:space="preserve"> Župan donosi </w:t>
      </w:r>
      <w:r w:rsidR="002922B0">
        <w:rPr>
          <w:rFonts w:ascii="Arial" w:hAnsi="Arial" w:cs="Arial"/>
          <w:sz w:val="22"/>
          <w:szCs w:val="22"/>
        </w:rPr>
        <w:t>o</w:t>
      </w:r>
      <w:r w:rsidRPr="00285CE8">
        <w:rPr>
          <w:rFonts w:ascii="Arial" w:hAnsi="Arial" w:cs="Arial"/>
          <w:sz w:val="22"/>
          <w:szCs w:val="22"/>
        </w:rPr>
        <w:t xml:space="preserve">dluku o </w:t>
      </w:r>
      <w:r w:rsidR="00A81EA2" w:rsidRPr="00A81EA2">
        <w:rPr>
          <w:rFonts w:ascii="Arial" w:hAnsi="Arial" w:cs="Arial"/>
          <w:sz w:val="22"/>
          <w:szCs w:val="22"/>
        </w:rPr>
        <w:t>dodjeli bespovratne potpore</w:t>
      </w:r>
      <w:r w:rsidRPr="00285CE8">
        <w:rPr>
          <w:rFonts w:ascii="Arial" w:hAnsi="Arial" w:cs="Arial"/>
          <w:sz w:val="22"/>
          <w:szCs w:val="22"/>
        </w:rPr>
        <w:t xml:space="preserve"> </w:t>
      </w:r>
      <w:r w:rsidR="00345724" w:rsidRPr="00285CE8">
        <w:rPr>
          <w:rFonts w:ascii="Arial" w:hAnsi="Arial" w:cs="Arial"/>
          <w:sz w:val="22"/>
          <w:szCs w:val="22"/>
        </w:rPr>
        <w:t>za</w:t>
      </w:r>
      <w:r w:rsidR="00002181">
        <w:rPr>
          <w:rFonts w:ascii="Arial" w:hAnsi="Arial" w:cs="Arial"/>
          <w:sz w:val="22"/>
          <w:szCs w:val="22"/>
        </w:rPr>
        <w:t xml:space="preserve"> </w:t>
      </w:r>
      <w:r w:rsidR="00002181" w:rsidRPr="00002181">
        <w:rPr>
          <w:rFonts w:ascii="Arial" w:hAnsi="Arial" w:cs="Arial"/>
          <w:sz w:val="22"/>
          <w:szCs w:val="22"/>
        </w:rPr>
        <w:t xml:space="preserve">pokriće dijela troškova stručne tehničke pomoći konzultanata </w:t>
      </w:r>
      <w:r w:rsidR="00803137" w:rsidRPr="00457EF9">
        <w:rPr>
          <w:rFonts w:ascii="Arial" w:hAnsi="Arial" w:cs="Arial"/>
          <w:sz w:val="22"/>
          <w:szCs w:val="22"/>
        </w:rPr>
        <w:t>za identifikaciju i evaluaciju projektnih ideja i pisanje prijave projekata koji će se financirati sredstvima EU</w:t>
      </w:r>
      <w:r w:rsidRPr="00285CE8">
        <w:rPr>
          <w:rFonts w:ascii="Arial" w:hAnsi="Arial" w:cs="Arial"/>
          <w:sz w:val="22"/>
          <w:szCs w:val="22"/>
        </w:rPr>
        <w:t>.</w:t>
      </w:r>
    </w:p>
    <w:p w:rsidR="00663FDE" w:rsidRPr="00285CE8" w:rsidRDefault="00663FDE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13D0" w:rsidRPr="00285CE8" w:rsidRDefault="006613D0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A95EB4" w:rsidRPr="00A95EB4" w:rsidRDefault="00A95EB4" w:rsidP="00A95EB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KLASA: 30</w:t>
      </w:r>
      <w:r w:rsidR="00803137">
        <w:rPr>
          <w:rFonts w:ascii="Arial" w:hAnsi="Arial" w:cs="Arial"/>
          <w:sz w:val="22"/>
          <w:szCs w:val="22"/>
        </w:rPr>
        <w:t>2</w:t>
      </w:r>
      <w:r w:rsidRPr="00A95EB4">
        <w:rPr>
          <w:rFonts w:ascii="Arial" w:hAnsi="Arial" w:cs="Arial"/>
          <w:sz w:val="22"/>
          <w:szCs w:val="22"/>
        </w:rPr>
        <w:t>-02/1</w:t>
      </w:r>
      <w:r w:rsidR="00803137">
        <w:rPr>
          <w:rFonts w:ascii="Arial" w:hAnsi="Arial" w:cs="Arial"/>
          <w:sz w:val="22"/>
          <w:szCs w:val="22"/>
        </w:rPr>
        <w:t>6</w:t>
      </w:r>
      <w:r w:rsidRPr="00A95EB4">
        <w:rPr>
          <w:rFonts w:ascii="Arial" w:hAnsi="Arial" w:cs="Arial"/>
          <w:sz w:val="22"/>
          <w:szCs w:val="22"/>
        </w:rPr>
        <w:t>-0</w:t>
      </w:r>
      <w:r w:rsidR="00803137">
        <w:rPr>
          <w:rFonts w:ascii="Arial" w:hAnsi="Arial" w:cs="Arial"/>
          <w:sz w:val="22"/>
          <w:szCs w:val="22"/>
        </w:rPr>
        <w:t>9</w:t>
      </w:r>
      <w:r w:rsidRPr="00A95EB4">
        <w:rPr>
          <w:rFonts w:ascii="Arial" w:hAnsi="Arial" w:cs="Arial"/>
          <w:sz w:val="22"/>
          <w:szCs w:val="22"/>
        </w:rPr>
        <w:t>/0</w:t>
      </w:r>
      <w:r w:rsidR="00803137">
        <w:rPr>
          <w:rFonts w:ascii="Arial" w:hAnsi="Arial" w:cs="Arial"/>
          <w:sz w:val="22"/>
          <w:szCs w:val="22"/>
        </w:rPr>
        <w:t>2</w:t>
      </w:r>
    </w:p>
    <w:p w:rsidR="00A95EB4" w:rsidRDefault="00A95EB4" w:rsidP="00A95EB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URBROJ: 238/1-20-0</w:t>
      </w:r>
      <w:r w:rsidR="00803137">
        <w:rPr>
          <w:rFonts w:ascii="Arial" w:hAnsi="Arial" w:cs="Arial"/>
          <w:sz w:val="22"/>
          <w:szCs w:val="22"/>
        </w:rPr>
        <w:t>1</w:t>
      </w:r>
      <w:r w:rsidRPr="00A95EB4">
        <w:rPr>
          <w:rFonts w:ascii="Arial" w:hAnsi="Arial" w:cs="Arial"/>
          <w:sz w:val="22"/>
          <w:szCs w:val="22"/>
        </w:rPr>
        <w:t>/2-1</w:t>
      </w:r>
      <w:r w:rsidR="00803137">
        <w:rPr>
          <w:rFonts w:ascii="Arial" w:hAnsi="Arial" w:cs="Arial"/>
          <w:sz w:val="22"/>
          <w:szCs w:val="22"/>
        </w:rPr>
        <w:t>6</w:t>
      </w:r>
      <w:r w:rsidRPr="00A95EB4">
        <w:rPr>
          <w:rFonts w:ascii="Arial" w:hAnsi="Arial" w:cs="Arial"/>
          <w:sz w:val="22"/>
          <w:szCs w:val="22"/>
        </w:rPr>
        <w:t>-0</w:t>
      </w:r>
      <w:r w:rsidR="00803137">
        <w:rPr>
          <w:rFonts w:ascii="Arial" w:hAnsi="Arial" w:cs="Arial"/>
          <w:sz w:val="22"/>
          <w:szCs w:val="22"/>
        </w:rPr>
        <w:t>4</w:t>
      </w:r>
    </w:p>
    <w:p w:rsidR="00663FDE" w:rsidRPr="00285CE8" w:rsidRDefault="00663FDE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U Zagrebu, </w:t>
      </w:r>
      <w:r w:rsidR="00A95EB4">
        <w:rPr>
          <w:rFonts w:ascii="Arial" w:hAnsi="Arial" w:cs="Arial"/>
          <w:sz w:val="22"/>
          <w:szCs w:val="22"/>
        </w:rPr>
        <w:t>2</w:t>
      </w:r>
      <w:r w:rsidR="00803137">
        <w:rPr>
          <w:rFonts w:ascii="Arial" w:hAnsi="Arial" w:cs="Arial"/>
          <w:sz w:val="22"/>
          <w:szCs w:val="22"/>
        </w:rPr>
        <w:t>2</w:t>
      </w:r>
      <w:r w:rsidR="00A95EB4">
        <w:rPr>
          <w:rFonts w:ascii="Arial" w:hAnsi="Arial" w:cs="Arial"/>
          <w:sz w:val="22"/>
          <w:szCs w:val="22"/>
        </w:rPr>
        <w:t xml:space="preserve">. </w:t>
      </w:r>
      <w:r w:rsidR="00803137">
        <w:rPr>
          <w:rFonts w:ascii="Arial" w:hAnsi="Arial" w:cs="Arial"/>
          <w:sz w:val="22"/>
          <w:szCs w:val="22"/>
        </w:rPr>
        <w:t>veljač</w:t>
      </w:r>
      <w:r w:rsidR="00041977">
        <w:rPr>
          <w:rFonts w:ascii="Arial" w:hAnsi="Arial" w:cs="Arial"/>
          <w:sz w:val="22"/>
          <w:szCs w:val="22"/>
        </w:rPr>
        <w:t>e</w:t>
      </w:r>
      <w:r w:rsidR="00A95EB4">
        <w:rPr>
          <w:rFonts w:ascii="Arial" w:hAnsi="Arial" w:cs="Arial"/>
          <w:sz w:val="22"/>
          <w:szCs w:val="22"/>
        </w:rPr>
        <w:t xml:space="preserve"> </w:t>
      </w:r>
      <w:r w:rsidR="00C97899">
        <w:rPr>
          <w:rFonts w:ascii="Arial" w:hAnsi="Arial" w:cs="Arial"/>
          <w:sz w:val="22"/>
          <w:szCs w:val="22"/>
        </w:rPr>
        <w:t>201</w:t>
      </w:r>
      <w:r w:rsidR="00803137">
        <w:rPr>
          <w:rFonts w:ascii="Arial" w:hAnsi="Arial" w:cs="Arial"/>
          <w:sz w:val="22"/>
          <w:szCs w:val="22"/>
        </w:rPr>
        <w:t>6</w:t>
      </w:r>
      <w:r w:rsidR="00C97899">
        <w:rPr>
          <w:rFonts w:ascii="Arial" w:hAnsi="Arial" w:cs="Arial"/>
          <w:sz w:val="22"/>
          <w:szCs w:val="22"/>
        </w:rPr>
        <w:t>.</w:t>
      </w:r>
    </w:p>
    <w:p w:rsidR="00663FDE" w:rsidRPr="00285CE8" w:rsidRDefault="00663FDE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3FDE" w:rsidRPr="00285CE8" w:rsidRDefault="00663FDE" w:rsidP="00002181">
      <w:pPr>
        <w:pStyle w:val="Zaglavlj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663FDE" w:rsidRPr="00285CE8" w:rsidRDefault="00663FDE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sectPr w:rsidR="00663FDE" w:rsidRPr="00285CE8" w:rsidSect="00575AFE">
      <w:headerReference w:type="default" r:id="rId8"/>
      <w:headerReference w:type="first" r:id="rId9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DE" w:rsidRDefault="00AC35DE" w:rsidP="003207C1">
      <w:r>
        <w:separator/>
      </w:r>
    </w:p>
  </w:endnote>
  <w:endnote w:type="continuationSeparator" w:id="0">
    <w:p w:rsidR="00AC35DE" w:rsidRDefault="00AC35DE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DE" w:rsidRDefault="00AC35DE" w:rsidP="003207C1">
      <w:r>
        <w:separator/>
      </w:r>
    </w:p>
  </w:footnote>
  <w:footnote w:type="continuationSeparator" w:id="0">
    <w:p w:rsidR="00AC35DE" w:rsidRDefault="00AC35DE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6"/>
  </w:num>
  <w:num w:numId="16">
    <w:abstractNumId w:val="1"/>
  </w:num>
  <w:num w:numId="17">
    <w:abstractNumId w:val="10"/>
  </w:num>
  <w:num w:numId="18">
    <w:abstractNumId w:val="20"/>
  </w:num>
  <w:num w:numId="19">
    <w:abstractNumId w:val="14"/>
  </w:num>
  <w:num w:numId="20">
    <w:abstractNumId w:val="12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49EB"/>
    <w:rsid w:val="000814DC"/>
    <w:rsid w:val="000A06DB"/>
    <w:rsid w:val="000A1355"/>
    <w:rsid w:val="000A14D0"/>
    <w:rsid w:val="000A25BD"/>
    <w:rsid w:val="00103C66"/>
    <w:rsid w:val="00135B24"/>
    <w:rsid w:val="0022603C"/>
    <w:rsid w:val="00285CE8"/>
    <w:rsid w:val="002922B0"/>
    <w:rsid w:val="002E41DF"/>
    <w:rsid w:val="002E7857"/>
    <w:rsid w:val="002F17CF"/>
    <w:rsid w:val="002F504A"/>
    <w:rsid w:val="002F5ADA"/>
    <w:rsid w:val="003024FF"/>
    <w:rsid w:val="003207C1"/>
    <w:rsid w:val="00324418"/>
    <w:rsid w:val="003364E8"/>
    <w:rsid w:val="00345724"/>
    <w:rsid w:val="003532D7"/>
    <w:rsid w:val="00387007"/>
    <w:rsid w:val="003F6F74"/>
    <w:rsid w:val="00410C06"/>
    <w:rsid w:val="004329A4"/>
    <w:rsid w:val="0045528F"/>
    <w:rsid w:val="004572A7"/>
    <w:rsid w:val="00457EF9"/>
    <w:rsid w:val="0047276D"/>
    <w:rsid w:val="004840DE"/>
    <w:rsid w:val="00487C69"/>
    <w:rsid w:val="004931B6"/>
    <w:rsid w:val="004B5A82"/>
    <w:rsid w:val="004D50B1"/>
    <w:rsid w:val="004F40E9"/>
    <w:rsid w:val="00513CE2"/>
    <w:rsid w:val="005419BE"/>
    <w:rsid w:val="00570304"/>
    <w:rsid w:val="00572A93"/>
    <w:rsid w:val="00575AFE"/>
    <w:rsid w:val="005B3753"/>
    <w:rsid w:val="005E203E"/>
    <w:rsid w:val="0060311F"/>
    <w:rsid w:val="00612C4A"/>
    <w:rsid w:val="00640E6B"/>
    <w:rsid w:val="00655480"/>
    <w:rsid w:val="006613D0"/>
    <w:rsid w:val="00663FDE"/>
    <w:rsid w:val="00692EAD"/>
    <w:rsid w:val="006C1364"/>
    <w:rsid w:val="006D09B3"/>
    <w:rsid w:val="006F0647"/>
    <w:rsid w:val="0070114E"/>
    <w:rsid w:val="0073198F"/>
    <w:rsid w:val="007326D1"/>
    <w:rsid w:val="007A2E82"/>
    <w:rsid w:val="007A6A06"/>
    <w:rsid w:val="007B30A0"/>
    <w:rsid w:val="007D47AA"/>
    <w:rsid w:val="00803137"/>
    <w:rsid w:val="0080447A"/>
    <w:rsid w:val="00827844"/>
    <w:rsid w:val="00831388"/>
    <w:rsid w:val="0085308E"/>
    <w:rsid w:val="00865AF7"/>
    <w:rsid w:val="008A0139"/>
    <w:rsid w:val="008A532D"/>
    <w:rsid w:val="008B285F"/>
    <w:rsid w:val="008D7A2E"/>
    <w:rsid w:val="0093342D"/>
    <w:rsid w:val="0095581B"/>
    <w:rsid w:val="0098443F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A14140"/>
    <w:rsid w:val="00A61CC7"/>
    <w:rsid w:val="00A80A95"/>
    <w:rsid w:val="00A81EA2"/>
    <w:rsid w:val="00A8363E"/>
    <w:rsid w:val="00A95EB4"/>
    <w:rsid w:val="00AC35DE"/>
    <w:rsid w:val="00AF35FE"/>
    <w:rsid w:val="00B16D8A"/>
    <w:rsid w:val="00B22ECC"/>
    <w:rsid w:val="00B306E3"/>
    <w:rsid w:val="00B4468C"/>
    <w:rsid w:val="00B6441A"/>
    <w:rsid w:val="00B675C3"/>
    <w:rsid w:val="00B731CE"/>
    <w:rsid w:val="00BA0253"/>
    <w:rsid w:val="00BB3F51"/>
    <w:rsid w:val="00BD3482"/>
    <w:rsid w:val="00BF77FF"/>
    <w:rsid w:val="00C32288"/>
    <w:rsid w:val="00C97899"/>
    <w:rsid w:val="00CC457F"/>
    <w:rsid w:val="00CF1AD1"/>
    <w:rsid w:val="00D07C33"/>
    <w:rsid w:val="00D110DD"/>
    <w:rsid w:val="00D4259F"/>
    <w:rsid w:val="00D51A06"/>
    <w:rsid w:val="00DC5151"/>
    <w:rsid w:val="00DD5CE7"/>
    <w:rsid w:val="00DF319F"/>
    <w:rsid w:val="00E03304"/>
    <w:rsid w:val="00E14BE2"/>
    <w:rsid w:val="00E417AA"/>
    <w:rsid w:val="00E57B3D"/>
    <w:rsid w:val="00E778AE"/>
    <w:rsid w:val="00ED416A"/>
    <w:rsid w:val="00F15F95"/>
    <w:rsid w:val="00F30A8F"/>
    <w:rsid w:val="00F602FC"/>
    <w:rsid w:val="00F7757B"/>
    <w:rsid w:val="00F87433"/>
    <w:rsid w:val="00F97058"/>
    <w:rsid w:val="00FA3DD8"/>
    <w:rsid w:val="00FA537C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C26-7ED6-4D79-8B7B-3FE4735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2</cp:revision>
  <cp:lastPrinted>2016-02-23T13:05:00Z</cp:lastPrinted>
  <dcterms:created xsi:type="dcterms:W3CDTF">2016-02-23T13:11:00Z</dcterms:created>
  <dcterms:modified xsi:type="dcterms:W3CDTF">2016-02-23T13:11:00Z</dcterms:modified>
</cp:coreProperties>
</file>