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B45" w14:textId="77777777" w:rsidR="001D601B" w:rsidRDefault="001D601B" w:rsidP="001D601B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 xml:space="preserve">              Na temelju </w:t>
      </w:r>
      <w:bookmarkStart w:id="0" w:name="_Hlk20473366"/>
      <w:r>
        <w:rPr>
          <w:rFonts w:ascii="Times New Roman" w:hAnsi="Times New Roman"/>
          <w:sz w:val="24"/>
          <w:szCs w:val="24"/>
        </w:rPr>
        <w:t>članka 18. stavka 1. Zakona o zaštiti prijavitelja nepravilnosti („Narodne novine“ broj 17/19),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članka 48. Zakona o lokalnoj i područnoj (regionalnoj) samoupravi („Narodne novine“ broj 33/01, 60/01, 129/05, 109/07, 125/08, 36/09, 150/11, 144/12 i 19/13-pročišćeni tekst 137/15-ispravak , 123/17, 98/19), a u svezi s </w:t>
      </w:r>
      <w:r>
        <w:rPr>
          <w:rFonts w:ascii="Times New Roman" w:hAnsi="Times New Roman"/>
          <w:sz w:val="24"/>
          <w:szCs w:val="24"/>
        </w:rPr>
        <w:t xml:space="preserve">člankom 3. točka 6.  Pravilnika o postupanju i izvještavanju o nepravilnostima u upravljanju sredstvima institucija u javnom sektoru („Narodne novine“ broj 78/20), </w:t>
      </w:r>
      <w:r>
        <w:rPr>
          <w:rFonts w:ascii="Times New Roman" w:hAnsi="Times New Roman"/>
          <w:color w:val="000000"/>
          <w:sz w:val="24"/>
          <w:szCs w:val="24"/>
        </w:rPr>
        <w:t xml:space="preserve"> članka 40. stavka 3. Statuta Zagrebačke županije („Glasnik Zagrebačke županije“ broj 17/09, 31/09, 4/13, 6/13-pročišćeni tekst, 5/18, 14/18 i 18/18- pročišćeni tekst, 3/20 i 23/20) i  članka 21. Poslovnika o načinu rada Župana Zagrebačke županije („Glasnik Zagrebačke županije“ broj 26/09, 1/11, 31-II/13 i 20/17)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Župan Zagrebačke županije dana 30. listopada 2020. godine donosi</w:t>
      </w:r>
    </w:p>
    <w:p w14:paraId="6D5266E9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0D42F87A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5D430F4D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PRAVILNIK  O IZMJENI I DOPUNAMA PRAVILNIKA</w:t>
      </w:r>
    </w:p>
    <w:p w14:paraId="70AED28A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O POSTUPKU UNUTARNJEG PRIJAVLJIVANJA NEPRAVILNOSTI I IMENOVANJU POVJERLJIVE OSOBE U ZAGREBAČKOJ ŽUPANIJI</w:t>
      </w:r>
    </w:p>
    <w:p w14:paraId="7DCFE29A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b/>
          <w:bCs/>
          <w:sz w:val="24"/>
        </w:rPr>
      </w:pPr>
    </w:p>
    <w:p w14:paraId="2B35327F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left"/>
        <w:rPr>
          <w:sz w:val="24"/>
        </w:rPr>
      </w:pPr>
    </w:p>
    <w:p w14:paraId="32DEF20D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center"/>
        <w:rPr>
          <w:sz w:val="24"/>
        </w:rPr>
      </w:pPr>
      <w:r>
        <w:rPr>
          <w:sz w:val="24"/>
        </w:rPr>
        <w:t>Članak 1.</w:t>
      </w:r>
    </w:p>
    <w:p w14:paraId="2DF8B43E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 xml:space="preserve">    </w:t>
      </w:r>
    </w:p>
    <w:p w14:paraId="392767FF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 xml:space="preserve">            U Pravilniku o postupku unutarnjeg prijavljivanja nepravilnosti i imenovanju povjerljive osobe u Zagrebačkoj županiji („Glasnik Zagrebačke županije“ broj 2/20) članak 20. se mijenja tako da novi glasi:</w:t>
      </w:r>
    </w:p>
    <w:p w14:paraId="37CD6154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5D1B9620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065B35D3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>„   Ukoliko se radi o prijavama nepravilnosti koje se odnose na korištenje proračunskih sredstava i/ili sredstava iz fondova Europske unije povjerljiva osoba će provesti postupak u skladu sa zakonom kojim je uređen sustav unutarnjih kontrola u javnom sektoru Republike Hrvatske i Pravilnikom o postupanju i izvještavanju o nepravilnostima u upravljanju sredstvima institucija u javnom sektoru. „</w:t>
      </w:r>
    </w:p>
    <w:p w14:paraId="742C9E37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6EBE9784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Članak 2.</w:t>
      </w:r>
    </w:p>
    <w:p w14:paraId="20C7A6C1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b/>
          <w:bCs/>
          <w:sz w:val="24"/>
        </w:rPr>
      </w:pPr>
    </w:p>
    <w:p w14:paraId="26550113" w14:textId="77777777" w:rsidR="001D601B" w:rsidRDefault="001D601B" w:rsidP="001D601B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Članak 26. predmetnog Pravilnika dopunjuje se na način da se iza prve rečenice dodaje tekst kako slijedi:</w:t>
      </w:r>
    </w:p>
    <w:p w14:paraId="2616E9E8" w14:textId="77777777" w:rsidR="001D601B" w:rsidRDefault="001D601B" w:rsidP="001D601B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14:paraId="58181F01" w14:textId="77777777" w:rsidR="001D601B" w:rsidRDefault="001D601B" w:rsidP="001D601B">
      <w:pPr>
        <w:spacing w:after="0"/>
        <w:ind w:firstLine="708"/>
        <w:jc w:val="both"/>
      </w:pPr>
      <w:r>
        <w:rPr>
          <w:rStyle w:val="zadanifontodlomka-000001"/>
        </w:rPr>
        <w:t xml:space="preserve"> </w:t>
      </w:r>
    </w:p>
    <w:p w14:paraId="306A4C45" w14:textId="77777777" w:rsidR="001D601B" w:rsidRDefault="001D601B" w:rsidP="001D601B">
      <w:pPr>
        <w:spacing w:after="0"/>
        <w:ind w:firstLine="708"/>
        <w:jc w:val="both"/>
      </w:pPr>
      <w:r>
        <w:rPr>
          <w:rStyle w:val="zadanifontodlomka-000001"/>
        </w:rPr>
        <w:t>„Povjerljiva osoba je ujedno i osoba za nepravilnosti u skladu sa  važećim zakonom kojim je uređen sustav unutarnjih kontrola u javnom sektoru Republike Hrvatske i  važećim Pravilnikom o postupanju i izvještavanju o nepravilnostima u upravljanju sredstvima institucija u javnom sektoru.“</w:t>
      </w:r>
    </w:p>
    <w:p w14:paraId="78FCC3E9" w14:textId="77777777" w:rsidR="001D601B" w:rsidRDefault="001D601B" w:rsidP="001D60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 ostalom dijelu članak ostaje neizmijenjen.</w:t>
      </w:r>
    </w:p>
    <w:p w14:paraId="13F4C17A" w14:textId="77777777" w:rsidR="001D601B" w:rsidRDefault="001D601B" w:rsidP="001D60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AF144D" w14:textId="77777777" w:rsidR="001D601B" w:rsidRDefault="001D601B" w:rsidP="001D601B">
      <w:pPr>
        <w:pStyle w:val="Normal1"/>
        <w:spacing w:after="0"/>
        <w:ind w:firstLine="708"/>
      </w:pPr>
    </w:p>
    <w:p w14:paraId="6AAAA38A" w14:textId="77777777" w:rsidR="001D601B" w:rsidRDefault="001D601B" w:rsidP="001D601B">
      <w:pPr>
        <w:pStyle w:val="Normal1"/>
        <w:spacing w:after="0"/>
        <w:ind w:firstLine="708"/>
      </w:pPr>
    </w:p>
    <w:p w14:paraId="2F50CF9B" w14:textId="77777777" w:rsidR="001D601B" w:rsidRDefault="001D601B" w:rsidP="001D601B">
      <w:pPr>
        <w:pStyle w:val="Normal1"/>
        <w:spacing w:after="0"/>
        <w:ind w:firstLine="708"/>
      </w:pPr>
    </w:p>
    <w:p w14:paraId="4A394B6B" w14:textId="77777777" w:rsidR="001D601B" w:rsidRDefault="001D601B" w:rsidP="001D601B">
      <w:pPr>
        <w:pStyle w:val="Naslov1"/>
        <w:spacing w:before="0"/>
        <w:jc w:val="center"/>
      </w:pPr>
      <w:r>
        <w:rPr>
          <w:rStyle w:val="zadanifontodlomka-000000"/>
          <w:bCs/>
        </w:rPr>
        <w:t>Članak 3.</w:t>
      </w:r>
    </w:p>
    <w:p w14:paraId="130F271C" w14:textId="77777777" w:rsidR="001D601B" w:rsidRDefault="001D601B" w:rsidP="001D601B">
      <w:pPr>
        <w:rPr>
          <w:rFonts w:ascii="Times New Roman" w:hAnsi="Times New Roman"/>
          <w:sz w:val="24"/>
          <w:szCs w:val="24"/>
        </w:rPr>
      </w:pPr>
    </w:p>
    <w:p w14:paraId="475C0B7A" w14:textId="77777777" w:rsidR="001D601B" w:rsidRDefault="001D601B" w:rsidP="001D601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5205034"/>
      <w:r>
        <w:rPr>
          <w:rFonts w:ascii="Times New Roman" w:hAnsi="Times New Roman"/>
          <w:sz w:val="24"/>
          <w:szCs w:val="24"/>
        </w:rPr>
        <w:t xml:space="preserve">          Članak 32. Pravilnika dopunjuje se na način da se iza  stavka dva dodaje stavak tri koji glasi</w:t>
      </w:r>
      <w:bookmarkEnd w:id="1"/>
      <w:r>
        <w:rPr>
          <w:rFonts w:ascii="Times New Roman" w:hAnsi="Times New Roman"/>
          <w:sz w:val="24"/>
          <w:szCs w:val="24"/>
        </w:rPr>
        <w:t>:</w:t>
      </w:r>
    </w:p>
    <w:p w14:paraId="31312AE7" w14:textId="77777777" w:rsidR="001D601B" w:rsidRDefault="001D601B" w:rsidP="001D601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47A2C1" w14:textId="77777777" w:rsidR="001D601B" w:rsidRDefault="001D601B" w:rsidP="001D601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„  Povjerljiva osoba kao osoba za nepravilnosti zaprima prijave o nepravilnostima u upravljanju sredstvima Županije, procjenjuje osnovanost zaprimljenih prijava i predlaže način postupanja u skladu o odredbama Pravilnika o postupanju i izvještavanju o nepravilnostima u          upravljanju  sredstvima institucija u javnom sektoru, priprema izvješće o nepravilnostima i          obavlja  druge poslove u skladu sa navedenim Pravilnikom.“</w:t>
      </w:r>
    </w:p>
    <w:p w14:paraId="453BA0DA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1B96A3C3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7D153E23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center"/>
        <w:rPr>
          <w:sz w:val="24"/>
        </w:rPr>
      </w:pPr>
      <w:r>
        <w:rPr>
          <w:sz w:val="24"/>
        </w:rPr>
        <w:t xml:space="preserve"> Članak 4.</w:t>
      </w:r>
    </w:p>
    <w:p w14:paraId="32FDBDCD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4B672954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 xml:space="preserve">         Ovaj Pravilnik  učinit će se dostupnim svim osobama koje obavljaju poslove u Županiji  na način da će se nakon stupanja na snagu objaviti na mrežnoj stranici Županije ili na drugi prikladan način (oglasna ploča i slično).</w:t>
      </w:r>
    </w:p>
    <w:p w14:paraId="4FA95CC6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center"/>
        <w:rPr>
          <w:sz w:val="24"/>
        </w:rPr>
      </w:pPr>
    </w:p>
    <w:p w14:paraId="2F58E8EE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jc w:val="center"/>
        <w:rPr>
          <w:sz w:val="24"/>
        </w:rPr>
      </w:pPr>
      <w:r>
        <w:rPr>
          <w:sz w:val="24"/>
        </w:rPr>
        <w:t xml:space="preserve">  Članak 5.</w:t>
      </w:r>
    </w:p>
    <w:p w14:paraId="00ECB381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13AF0274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 xml:space="preserve">        Ovaj Pravilnik stupa na snagu osmog dana od dana objave a objavit će se u „Glasniku Zagrebačke županije“.</w:t>
      </w:r>
    </w:p>
    <w:p w14:paraId="3BFDE486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1634B97E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7FBCD99B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>KLASA: 022-01/20-01/43</w:t>
      </w:r>
    </w:p>
    <w:p w14:paraId="0AF5106A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>URBROJ: 238/1-03-20-12</w:t>
      </w:r>
    </w:p>
    <w:p w14:paraId="768364C8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  <w:r>
        <w:rPr>
          <w:sz w:val="24"/>
        </w:rPr>
        <w:t>Zagreb, 30. listopada 2020.</w:t>
      </w:r>
    </w:p>
    <w:p w14:paraId="29BE484A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03E80DA3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785FD604" w14:textId="77777777" w:rsidR="001D601B" w:rsidRDefault="001D601B" w:rsidP="001D601B">
      <w:pPr>
        <w:pStyle w:val="Uvuenotijeloteksta"/>
        <w:tabs>
          <w:tab w:val="left" w:pos="8789"/>
        </w:tabs>
        <w:ind w:left="0" w:firstLine="0"/>
        <w:rPr>
          <w:sz w:val="24"/>
        </w:rPr>
      </w:pPr>
    </w:p>
    <w:p w14:paraId="0FA25350" w14:textId="77777777" w:rsidR="001D601B" w:rsidRDefault="001D601B" w:rsidP="001D601B">
      <w:pPr>
        <w:pStyle w:val="Uvuenotijeloteksta"/>
        <w:tabs>
          <w:tab w:val="left" w:pos="8789"/>
        </w:tabs>
        <w:ind w:left="4253" w:firstLine="0"/>
        <w:jc w:val="center"/>
        <w:rPr>
          <w:sz w:val="24"/>
        </w:rPr>
      </w:pPr>
      <w:r>
        <w:rPr>
          <w:sz w:val="24"/>
        </w:rPr>
        <w:t>Župan</w:t>
      </w:r>
    </w:p>
    <w:p w14:paraId="6162E147" w14:textId="77777777" w:rsidR="001D601B" w:rsidRDefault="001D601B" w:rsidP="001D601B">
      <w:pPr>
        <w:pStyle w:val="Uvuenotijeloteksta"/>
        <w:tabs>
          <w:tab w:val="left" w:pos="8789"/>
        </w:tabs>
        <w:ind w:left="4253" w:firstLine="0"/>
        <w:jc w:val="center"/>
        <w:rPr>
          <w:sz w:val="24"/>
        </w:rPr>
      </w:pPr>
    </w:p>
    <w:p w14:paraId="296949FE" w14:textId="77777777" w:rsidR="001D601B" w:rsidRDefault="001D601B" w:rsidP="001D601B">
      <w:pPr>
        <w:pStyle w:val="Uvuenotijeloteksta"/>
        <w:tabs>
          <w:tab w:val="left" w:pos="8789"/>
        </w:tabs>
        <w:ind w:left="4253" w:firstLine="0"/>
        <w:jc w:val="center"/>
        <w:rPr>
          <w:sz w:val="24"/>
        </w:rPr>
      </w:pPr>
      <w:r>
        <w:rPr>
          <w:sz w:val="24"/>
        </w:rPr>
        <w:t>mr.sc. Stjepan Kožić, dipl. ing.</w:t>
      </w:r>
    </w:p>
    <w:p w14:paraId="47487003" w14:textId="77777777" w:rsidR="001D601B" w:rsidRDefault="001D601B"/>
    <w:sectPr w:rsidR="001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1B"/>
    <w:rsid w:val="001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DC52"/>
  <w15:chartTrackingRefBased/>
  <w15:docId w15:val="{85E0674F-22B4-4605-B616-CC67530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1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1D601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01B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Uvuenotijeloteksta">
    <w:name w:val="Body Text Indent"/>
    <w:basedOn w:val="Normal"/>
    <w:link w:val="UvuenotijelotekstaChar"/>
    <w:rsid w:val="001D601B"/>
    <w:pPr>
      <w:spacing w:after="0"/>
      <w:ind w:left="720" w:firstLine="720"/>
      <w:jc w:val="both"/>
    </w:pPr>
    <w:rPr>
      <w:rFonts w:ascii="Times New Roman" w:eastAsia="Times New Roman" w:hAnsi="Times New Roman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1D601B"/>
    <w:rPr>
      <w:rFonts w:ascii="Times New Roman" w:eastAsia="Times New Roman" w:hAnsi="Times New Roman" w:cs="Times New Roman"/>
      <w:szCs w:val="24"/>
    </w:rPr>
  </w:style>
  <w:style w:type="paragraph" w:styleId="Bezproreda">
    <w:name w:val="No Spacing"/>
    <w:rsid w:val="001D60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zadanifontodlomka-000001">
    <w:name w:val="zadanifontodlomka-000001"/>
    <w:basedOn w:val="Zadanifontodlomka"/>
    <w:rsid w:val="001D601B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1D601B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-000000">
    <w:name w:val="zadanifontodlomka-000000"/>
    <w:basedOn w:val="Zadanifontodlomka"/>
    <w:rsid w:val="001D601B"/>
    <w:rPr>
      <w:rFonts w:ascii="Times New Roman" w:hAnsi="Times New Roman" w:cs="Times New Roman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tatjana-musija@zagzup.zagrebacka-zupanija.hr</dc:creator>
  <cp:keywords/>
  <dc:description/>
  <cp:lastModifiedBy>tatjana-musija@zagzup.zagrebacka-zupanija.hr</cp:lastModifiedBy>
  <cp:revision>1</cp:revision>
  <dcterms:created xsi:type="dcterms:W3CDTF">2020-11-02T10:43:00Z</dcterms:created>
  <dcterms:modified xsi:type="dcterms:W3CDTF">2020-11-02T10:44:00Z</dcterms:modified>
</cp:coreProperties>
</file>